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4C5" w:rsidRDefault="00D474C5" w:rsidP="00D474C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474C5" w:rsidRDefault="00D474C5" w:rsidP="00D474C5">
      <w:pPr>
        <w:widowControl w:val="0"/>
        <w:rPr>
          <w:rFonts w:cs="Arial"/>
          <w:sz w:val="20"/>
          <w:u w:val="single"/>
        </w:rPr>
      </w:pPr>
    </w:p>
    <w:p w:rsidR="00D474C5" w:rsidRDefault="00D474C5" w:rsidP="00D474C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widowControl w:val="0"/>
        <w:rPr>
          <w:rFonts w:cs="Arial"/>
          <w:sz w:val="20"/>
        </w:rPr>
      </w:pPr>
    </w:p>
    <w:p w:rsidR="00D474C5" w:rsidRDefault="00D474C5" w:rsidP="00D474C5">
      <w:pPr>
        <w:widowControl w:val="0"/>
        <w:rPr>
          <w:rFonts w:cs="Arial"/>
        </w:rPr>
      </w:pPr>
    </w:p>
    <w:p w:rsidR="00D474C5" w:rsidRDefault="00D474C5" w:rsidP="00D474C5">
      <w:pPr>
        <w:pStyle w:val="Capa"/>
        <w:rPr>
          <w:color w:val="FF9900"/>
        </w:rPr>
      </w:pPr>
      <w:r>
        <w:t>SINDRAPE</w:t>
      </w:r>
    </w:p>
    <w:p w:rsidR="00D474C5" w:rsidRDefault="00D474C5" w:rsidP="00D474C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474C5" w:rsidRPr="00D474C5" w:rsidRDefault="00D474C5" w:rsidP="00D474C5">
      <w:pPr>
        <w:widowControl w:val="0"/>
        <w:rPr>
          <w:color w:val="000080"/>
        </w:rPr>
      </w:pPr>
    </w:p>
    <w:p w:rsidR="00D474C5" w:rsidRPr="00D474C5" w:rsidRDefault="00D474C5" w:rsidP="00D474C5">
      <w:pPr>
        <w:widowControl w:val="0"/>
        <w:jc w:val="right"/>
        <w:rPr>
          <w:rFonts w:cs="Arial"/>
          <w:b/>
          <w:bCs/>
          <w:color w:val="000080"/>
        </w:rPr>
      </w:pPr>
    </w:p>
    <w:p w:rsidR="00D474C5" w:rsidRDefault="00D474C5" w:rsidP="00D474C5">
      <w:pPr>
        <w:pStyle w:val="Capa"/>
        <w:rPr>
          <w:color w:val="FF9900"/>
        </w:rPr>
      </w:pPr>
      <w:r>
        <w:t>UCS0367 - Reajustar Proventos de Aposentadoria sem Paridade</w:t>
      </w:r>
    </w:p>
    <w:p w:rsidR="00D474C5" w:rsidRDefault="00D474C5" w:rsidP="00D474C5">
      <w:pPr>
        <w:widowControl w:val="0"/>
        <w:rPr>
          <w:rFonts w:cs="Arial"/>
        </w:rPr>
      </w:pPr>
    </w:p>
    <w:p w:rsidR="00D474C5" w:rsidRDefault="00D474C5" w:rsidP="00D474C5">
      <w:pPr>
        <w:widowControl w:val="0"/>
      </w:pPr>
    </w:p>
    <w:p w:rsidR="00D474C5" w:rsidRDefault="00D474C5" w:rsidP="00D474C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474C5" w:rsidRPr="00D474C5" w:rsidRDefault="00D474C5" w:rsidP="00D474C5">
      <w:pPr>
        <w:pStyle w:val="Corpodetexto3"/>
        <w:widowControl w:val="0"/>
        <w:spacing w:after="0"/>
        <w:rPr>
          <w:rFonts w:cs="Arial"/>
        </w:rPr>
      </w:pPr>
      <w:r w:rsidRPr="00D474C5">
        <w:rPr>
          <w:rFonts w:cs="Arial"/>
        </w:rPr>
        <w:lastRenderedPageBreak/>
        <w:t>Histórico de Revisões</w:t>
      </w:r>
    </w:p>
    <w:p w:rsidR="00D474C5" w:rsidRDefault="00D474C5" w:rsidP="00D474C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474C5" w:rsidTr="00D474C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C5" w:rsidRDefault="00D474C5" w:rsidP="00D474C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C5" w:rsidRDefault="00D474C5" w:rsidP="00D474C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C5" w:rsidRDefault="00D474C5" w:rsidP="00D474C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C5" w:rsidRDefault="00D474C5" w:rsidP="00D474C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474C5" w:rsidTr="00D474C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C5" w:rsidRDefault="00D474C5" w:rsidP="00D474C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C5" w:rsidRDefault="00D474C5" w:rsidP="00D474C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C5" w:rsidRDefault="00D474C5" w:rsidP="00D474C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74C5" w:rsidRDefault="00D474C5" w:rsidP="00D474C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D474C5" w:rsidRDefault="00D474C5" w:rsidP="00D474C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474C5" w:rsidRPr="00D474C5" w:rsidRDefault="00D474C5" w:rsidP="00D474C5">
      <w:pPr>
        <w:pStyle w:val="Corpodetexto3"/>
        <w:widowControl w:val="0"/>
        <w:spacing w:after="0"/>
        <w:jc w:val="left"/>
        <w:rPr>
          <w:rFonts w:cs="Arial"/>
        </w:rPr>
      </w:pPr>
      <w:r w:rsidRPr="00D474C5">
        <w:rPr>
          <w:rFonts w:cs="Arial"/>
        </w:rPr>
        <w:lastRenderedPageBreak/>
        <w:t>Índice</w:t>
      </w:r>
    </w:p>
    <w:p w:rsidR="00D474C5" w:rsidRPr="00D474C5" w:rsidRDefault="00D474C5" w:rsidP="00D474C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2797A" w:rsidRDefault="00D474C5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3801" w:history="1">
        <w:r w:rsidR="0042797A" w:rsidRPr="002312A0">
          <w:rPr>
            <w:rStyle w:val="Hyperlink"/>
            <w:noProof/>
          </w:rPr>
          <w:t>1.</w:t>
        </w:r>
        <w:r w:rsidR="0042797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2797A" w:rsidRPr="002312A0">
          <w:rPr>
            <w:rStyle w:val="Hyperlink"/>
            <w:noProof/>
          </w:rPr>
          <w:t>Pacote/Caso de Uso</w:t>
        </w:r>
        <w:r w:rsidR="0042797A">
          <w:rPr>
            <w:noProof/>
            <w:webHidden/>
          </w:rPr>
          <w:tab/>
        </w:r>
        <w:r w:rsidR="0042797A">
          <w:rPr>
            <w:noProof/>
            <w:webHidden/>
          </w:rPr>
          <w:fldChar w:fldCharType="begin"/>
        </w:r>
        <w:r w:rsidR="0042797A">
          <w:rPr>
            <w:noProof/>
            <w:webHidden/>
          </w:rPr>
          <w:instrText xml:space="preserve"> PAGEREF _Toc404613801 \h </w:instrText>
        </w:r>
        <w:r w:rsidR="0042797A">
          <w:rPr>
            <w:noProof/>
            <w:webHidden/>
          </w:rPr>
        </w:r>
        <w:r w:rsidR="0042797A">
          <w:rPr>
            <w:noProof/>
            <w:webHidden/>
          </w:rPr>
          <w:fldChar w:fldCharType="separate"/>
        </w:r>
        <w:r w:rsidR="0042797A">
          <w:rPr>
            <w:noProof/>
            <w:webHidden/>
          </w:rPr>
          <w:t>4</w:t>
        </w:r>
        <w:r w:rsidR="0042797A"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02" w:history="1">
        <w:r w:rsidRPr="002312A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03" w:history="1">
        <w:r w:rsidRPr="002312A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04" w:history="1">
        <w:r w:rsidRPr="002312A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05" w:history="1">
        <w:r w:rsidRPr="002312A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06" w:history="1">
        <w:r w:rsidRPr="002312A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07" w:history="1">
        <w:r w:rsidRPr="002312A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08" w:history="1">
        <w:r w:rsidRPr="002312A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09" w:history="1">
        <w:r w:rsidRPr="002312A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Incluir Reajuste de Proventos de Aposentadoria sem Paridade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0" w:history="1">
        <w:r w:rsidRPr="002312A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1" w:history="1">
        <w:r w:rsidRPr="002312A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Fluxo alternativo – Não existe folha do tipo aposentadoria calculada em definitivo no mês/ano – substitui a partir do passo 4.1.1.6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2" w:history="1">
        <w:r w:rsidRPr="002312A0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Fluxo alternativo – Percentual de proporcionalidade da aposentadoria igual a 100% – substitui a partir do passo 4.1.1.13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3" w:history="1">
        <w:r w:rsidRPr="002312A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Excluir Reajuste de Proventos de Aposentadoria sem Paridade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4" w:history="1">
        <w:r w:rsidRPr="002312A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5" w:history="1">
        <w:r w:rsidRPr="002312A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Fluxo alternativo – Não existe folha do tipo aposentadoria calculada em definitivo no mês/ano – substitui a partir do passo 4.1.1.6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6" w:history="1">
        <w:r w:rsidRPr="002312A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Listar Reajuste de Proventos de Aposentadoria sem Paridade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7" w:history="1">
        <w:r w:rsidRPr="002312A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8" w:history="1">
        <w:r w:rsidRPr="002312A0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Fluxo Alternativo – Detalhar reajuste de proventos de aposentadoria sem paridade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19" w:history="1">
        <w:r w:rsidRPr="002312A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797A" w:rsidRDefault="0042797A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20" w:history="1">
        <w:r w:rsidRPr="002312A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12A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474C5" w:rsidRDefault="00D474C5" w:rsidP="00D474C5">
      <w:pPr>
        <w:pStyle w:val="Sumrio1"/>
      </w:pPr>
      <w:r>
        <w:fldChar w:fldCharType="end"/>
      </w:r>
    </w:p>
    <w:p w:rsidR="00D474C5" w:rsidRDefault="00D474C5" w:rsidP="00D474C5">
      <w:pPr>
        <w:widowControl w:val="0"/>
        <w:rPr>
          <w:rFonts w:cs="Arial"/>
          <w:b/>
          <w:bCs/>
          <w:color w:val="000000"/>
        </w:rPr>
      </w:pPr>
    </w:p>
    <w:p w:rsidR="00D474C5" w:rsidRDefault="00D474C5" w:rsidP="00D474C5">
      <w:pPr>
        <w:pStyle w:val="Heading"/>
        <w:rPr>
          <w:rFonts w:cs="Arial"/>
          <w:szCs w:val="24"/>
          <w:lang w:val="pt-BR"/>
        </w:rPr>
      </w:pPr>
    </w:p>
    <w:p w:rsidR="00D474C5" w:rsidRDefault="00D474C5" w:rsidP="00D474C5">
      <w:pPr>
        <w:pStyle w:val="Heading"/>
      </w:pPr>
    </w:p>
    <w:p w:rsidR="00D474C5" w:rsidRDefault="00D474C5" w:rsidP="00D474C5">
      <w:pPr>
        <w:pStyle w:val="Heading"/>
        <w:jc w:val="center"/>
      </w:pPr>
    </w:p>
    <w:p w:rsidR="00D474C5" w:rsidRDefault="00D474C5" w:rsidP="00D474C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474C5" w:rsidRDefault="00D474C5" w:rsidP="00D474C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3801"/>
      <w:r>
        <w:lastRenderedPageBreak/>
        <w:t>Pacote/Caso de Uso</w:t>
      </w:r>
      <w:bookmarkEnd w:id="1"/>
    </w:p>
    <w:p w:rsidR="00D474C5" w:rsidRDefault="00D474C5" w:rsidP="00D474C5"/>
    <w:p w:rsidR="00D474C5" w:rsidRDefault="00D474C5" w:rsidP="00D474C5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Reajustar Proventos de Aposentadoria sem Paridade</w:t>
      </w:r>
    </w:p>
    <w:p w:rsidR="00D474C5" w:rsidRDefault="00D474C5" w:rsidP="00D474C5">
      <w:pPr>
        <w:widowControl w:val="0"/>
        <w:ind w:left="902"/>
        <w:rPr>
          <w:rFonts w:cs="Arial"/>
          <w:b/>
          <w:bCs/>
          <w:color w:val="FF0000"/>
        </w:rPr>
      </w:pPr>
    </w:p>
    <w:p w:rsidR="00D474C5" w:rsidRDefault="00D474C5" w:rsidP="0042797A">
      <w:pPr>
        <w:pStyle w:val="Ttulo2"/>
      </w:pPr>
      <w:bookmarkStart w:id="2" w:name="_Toc404613802"/>
      <w:r>
        <w:t>Descrição</w:t>
      </w:r>
      <w:bookmarkEnd w:id="2"/>
    </w:p>
    <w:p w:rsidR="00D474C5" w:rsidRDefault="00D474C5" w:rsidP="00D474C5">
      <w:pPr>
        <w:pStyle w:val="Recuodecorpodetexto2"/>
        <w:widowControl w:val="0"/>
        <w:ind w:left="1620" w:firstLine="0"/>
        <w:rPr>
          <w:sz w:val="24"/>
        </w:rPr>
      </w:pPr>
    </w:p>
    <w:p w:rsidR="00D474C5" w:rsidRDefault="00D474C5" w:rsidP="00D474C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reajustar proventos de aposentadoria sem paridade.</w:t>
      </w:r>
    </w:p>
    <w:p w:rsidR="00D474C5" w:rsidRDefault="00D474C5" w:rsidP="00D474C5">
      <w:pPr>
        <w:pStyle w:val="Recuodecorpodetexto2"/>
        <w:widowControl w:val="0"/>
        <w:ind w:left="1620" w:firstLine="0"/>
        <w:rPr>
          <w:sz w:val="24"/>
        </w:rPr>
      </w:pPr>
    </w:p>
    <w:p w:rsidR="00D474C5" w:rsidRDefault="00D474C5" w:rsidP="0042797A">
      <w:pPr>
        <w:pStyle w:val="Ttulo2"/>
      </w:pPr>
      <w:bookmarkStart w:id="3" w:name="_Toc404613803"/>
      <w:r>
        <w:t>Requisitos atendidos</w:t>
      </w:r>
      <w:bookmarkEnd w:id="3"/>
    </w:p>
    <w:p w:rsidR="00D474C5" w:rsidRDefault="00D474C5" w:rsidP="00D474C5"/>
    <w:p w:rsidR="00D474C5" w:rsidRDefault="00D474C5" w:rsidP="00D474C5">
      <w:pPr>
        <w:pStyle w:val="Recuodecorpodetexto"/>
        <w:ind w:left="1260"/>
      </w:pPr>
      <w:r>
        <w:t>R12 – 2.3.12.1 Cálculo dos proventos da aposentadoria sem paridade</w:t>
      </w:r>
    </w:p>
    <w:p w:rsidR="00D474C5" w:rsidRDefault="00D474C5" w:rsidP="00D474C5">
      <w:pPr>
        <w:pStyle w:val="Recuodecorpodetexto"/>
        <w:ind w:left="1260"/>
      </w:pPr>
      <w:r>
        <w:t>R12 – 2.3.12.2 Reajuste dos proventos da aposentadoria sem paridade</w:t>
      </w:r>
    </w:p>
    <w:p w:rsidR="00D474C5" w:rsidRDefault="00D474C5" w:rsidP="00D474C5"/>
    <w:p w:rsidR="00D474C5" w:rsidRDefault="00D474C5" w:rsidP="00D474C5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3804"/>
      <w:r>
        <w:t>Conceito</w:t>
      </w:r>
      <w:bookmarkEnd w:id="4"/>
      <w:r>
        <w:tab/>
      </w:r>
    </w:p>
    <w:p w:rsidR="00D474C5" w:rsidRDefault="00D474C5" w:rsidP="00D474C5"/>
    <w:p w:rsidR="00D474C5" w:rsidRDefault="00D474C5" w:rsidP="0042797A">
      <w:pPr>
        <w:pStyle w:val="Ttulo2"/>
      </w:pPr>
      <w:bookmarkStart w:id="5" w:name="_Toc404613805"/>
      <w:r>
        <w:t>Conceitos principais</w:t>
      </w:r>
      <w:bookmarkEnd w:id="5"/>
    </w:p>
    <w:p w:rsidR="0042797A" w:rsidRPr="0042797A" w:rsidRDefault="0042797A" w:rsidP="0042797A"/>
    <w:p w:rsidR="00D474C5" w:rsidRDefault="0042797A" w:rsidP="00D474C5">
      <w:pPr>
        <w:rPr>
          <w:rFonts w:cs="Arial"/>
        </w:rPr>
      </w:pPr>
      <w:r>
        <w:rPr>
          <w:rFonts w:cs="Arial"/>
        </w:rPr>
        <w:t>Não se aplica.</w:t>
      </w:r>
    </w:p>
    <w:p w:rsidR="00D474C5" w:rsidRDefault="00D474C5" w:rsidP="0042797A">
      <w:pPr>
        <w:pStyle w:val="Ttulo2"/>
      </w:pPr>
      <w:bookmarkStart w:id="6" w:name="_Toc404613806"/>
      <w:r>
        <w:t>Conceitos associados</w:t>
      </w:r>
      <w:bookmarkEnd w:id="6"/>
    </w:p>
    <w:p w:rsidR="0042797A" w:rsidRPr="0042797A" w:rsidRDefault="0042797A" w:rsidP="0042797A"/>
    <w:p w:rsidR="0042797A" w:rsidRDefault="0042797A" w:rsidP="0042797A">
      <w:pPr>
        <w:rPr>
          <w:rFonts w:cs="Arial"/>
        </w:rPr>
      </w:pPr>
      <w:r>
        <w:rPr>
          <w:rFonts w:cs="Arial"/>
        </w:rPr>
        <w:t>Não se aplica.</w:t>
      </w:r>
    </w:p>
    <w:p w:rsidR="00D474C5" w:rsidRDefault="00D474C5" w:rsidP="00D474C5">
      <w:pPr>
        <w:rPr>
          <w:rFonts w:eastAsia="Arial Unicode MS"/>
        </w:rPr>
      </w:pPr>
    </w:p>
    <w:p w:rsidR="00D474C5" w:rsidRDefault="00D474C5" w:rsidP="00D474C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3807"/>
      <w:r>
        <w:lastRenderedPageBreak/>
        <w:t>Diagrama</w:t>
      </w:r>
      <w:bookmarkEnd w:id="7"/>
    </w:p>
    <w:p w:rsidR="00D474C5" w:rsidRDefault="00D474C5" w:rsidP="00D474C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474C5" w:rsidRDefault="0042797A" w:rsidP="00D474C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249EBE10" wp14:editId="78EE31CB">
            <wp:extent cx="4114800" cy="33337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4C5" w:rsidRDefault="00D474C5" w:rsidP="00D474C5">
      <w:pPr>
        <w:widowControl w:val="0"/>
        <w:jc w:val="center"/>
        <w:rPr>
          <w:rFonts w:cs="Arial"/>
        </w:rPr>
      </w:pPr>
    </w:p>
    <w:p w:rsidR="00D474C5" w:rsidRDefault="00D474C5" w:rsidP="00D474C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3808"/>
      <w:r>
        <w:lastRenderedPageBreak/>
        <w:t>Casos de Uso</w:t>
      </w:r>
      <w:bookmarkEnd w:id="8"/>
    </w:p>
    <w:p w:rsidR="00D474C5" w:rsidRDefault="00D474C5" w:rsidP="0042797A">
      <w:pPr>
        <w:pStyle w:val="Ttulo2"/>
      </w:pPr>
      <w:bookmarkStart w:id="9" w:name="_Toc223835703"/>
      <w:bookmarkStart w:id="10" w:name="_Toc404613809"/>
      <w:r>
        <w:t xml:space="preserve">Incluir Reajuste </w:t>
      </w:r>
      <w:bookmarkEnd w:id="9"/>
      <w:r>
        <w:t>de Proventos de Aposentadoria sem Paridade</w:t>
      </w:r>
      <w:bookmarkEnd w:id="10"/>
    </w:p>
    <w:p w:rsidR="00D474C5" w:rsidRDefault="00D474C5" w:rsidP="00D474C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220380601"/>
      <w:bookmarkStart w:id="12" w:name="_Toc223835704"/>
      <w:bookmarkStart w:id="13" w:name="_Toc404613810"/>
      <w:r>
        <w:t>Fluxo Básico</w:t>
      </w:r>
      <w:bookmarkEnd w:id="11"/>
      <w:bookmarkEnd w:id="12"/>
      <w:bookmarkEnd w:id="13"/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de reajustes de proventos de aposentadoria sem paridade;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para incluir reajuste de proventos;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informações para preenchimento;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os dados necessários;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Incluir;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definidas (</w:t>
      </w:r>
      <w:r w:rsidRPr="00FF700E">
        <w:rPr>
          <w:b/>
          <w:bCs w:val="0"/>
        </w:rPr>
        <w:t>RGN2.2.12.1, RGN2.2.13.1,</w:t>
      </w:r>
      <w:r>
        <w:t xml:space="preserve"> </w:t>
      </w:r>
      <w:r>
        <w:rPr>
          <w:b/>
          <w:bCs w:val="0"/>
        </w:rPr>
        <w:t>RGN2.1.69.17, RGN2.1.144.1, RGN2.1.150.1</w:t>
      </w:r>
      <w:r>
        <w:t>);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a inclusão do histórico de reajuste de proventos de aposentadoria sem paridade;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as concessões de aposentadoria que sofrerão reajuste de proventos conforme regras (</w:t>
      </w:r>
      <w:r>
        <w:rPr>
          <w:b/>
          <w:bCs w:val="0"/>
        </w:rPr>
        <w:t>RGN2.1.145.1</w:t>
      </w:r>
      <w:r>
        <w:t xml:space="preserve">, </w:t>
      </w:r>
      <w:r>
        <w:rPr>
          <w:b/>
          <w:bCs w:val="0"/>
        </w:rPr>
        <w:t>RGN2.1.145.2, RGN2.1.145.3</w:t>
      </w:r>
      <w:r>
        <w:t>);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inclui um novo histórico de valor de aposentadoria sem paridade com a data início da validade igual à data início do reajuste, a partir do atual histórico em que o reajuste deve ser aplicado; 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Para cada novo histórico incluído, o sistema aplica a porcentagem de reajuste identificada sobre o valor integral da média;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recupera os valores dos limitadores mínimo e máximo do modelo de aposentadoria de cada vínculo através da validação das regras </w:t>
      </w:r>
      <w:r w:rsidRPr="00FF700E">
        <w:rPr>
          <w:b/>
          <w:bCs w:val="0"/>
        </w:rPr>
        <w:t>RGN2.1.1</w:t>
      </w:r>
      <w:r>
        <w:rPr>
          <w:b/>
          <w:bCs w:val="0"/>
        </w:rPr>
        <w:t>49</w:t>
      </w:r>
      <w:r w:rsidRPr="00FF700E">
        <w:rPr>
          <w:b/>
          <w:bCs w:val="0"/>
        </w:rPr>
        <w:t>.1</w:t>
      </w:r>
      <w:r>
        <w:t xml:space="preserve">, </w:t>
      </w:r>
      <w:r w:rsidRPr="00FF700E">
        <w:rPr>
          <w:b/>
          <w:bCs w:val="0"/>
        </w:rPr>
        <w:t>RGN2.1.1</w:t>
      </w:r>
      <w:r>
        <w:rPr>
          <w:b/>
          <w:bCs w:val="0"/>
        </w:rPr>
        <w:t>49</w:t>
      </w:r>
      <w:r w:rsidRPr="00FF700E">
        <w:rPr>
          <w:b/>
          <w:bCs w:val="0"/>
        </w:rPr>
        <w:t>.2</w:t>
      </w:r>
      <w:r>
        <w:t>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compara o valor integral da média com os limitadores encontrados. Quando o valor integral da média for menor que o valor do limitador mínimo, o valor limitado da média deverá ser o próprio limitador mínimo. Quando o valor integral da média for maior que o valor limitador máximo, o valor limitado da média deverá ser o próprio limitador máximo. Quando o valor integral da média estiver no intervalo entre os limitadores, o valor limitado da média deverá ser o próprio valor integral da média;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 concessão da aposentadoria e aplica o percentual de proporcionalidade sobre o valor limitado da média obtendo o valor proporcional;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compara o valor proporcional com os limitadores encontrados. Quando o valor proporcional for menor que o valor do limitador mínimo, o valor proporcional limitado deverá ser o próprio limitador mínimo. Quando o valor proporcional for maior que o valor limitador máximo, o valor proporcional </w:t>
      </w:r>
      <w:r>
        <w:lastRenderedPageBreak/>
        <w:t>limitado deverá ser o próprio limitador máximo. Quando o valor proporcional estiver no intervalo entre os limitadores, o valor proporcional limitado deverá ser o próprio valor proporcional;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considera o valor final da aposentadoria como o  próprio valor proporcional limitado;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MSG2201</w:t>
      </w:r>
      <w:r>
        <w:t xml:space="preserve"> ("Reajuste efetuado com sucesso!").</w:t>
      </w:r>
    </w:p>
    <w:p w:rsidR="00D474C5" w:rsidRDefault="00D474C5" w:rsidP="00D474C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3811"/>
      <w:r>
        <w:t>Fluxo alternativo – Não existe folha do tipo aposentadoria calculada em definitivo no mês/ano – substitui a partir do passo 4.1.1.6</w:t>
      </w:r>
      <w:bookmarkEnd w:id="14"/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 folha do tipo Aposentadoria calculada em definitivo na referência informada;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RGN2.2.12.1, RGN2.2.13.1, RGN2.1.69.15, RGN2.1.144.1, RGN21.150.1</w:t>
      </w:r>
      <w:r>
        <w:t>);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4.1.1.7.</w:t>
      </w:r>
    </w:p>
    <w:p w:rsidR="00D474C5" w:rsidRDefault="00D474C5" w:rsidP="00D474C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13812"/>
      <w:r>
        <w:t>Fluxo alternativo – Percentual de proporcionalidade da aposentadoria igual a 100% – substitui a partir do passo 4.1.1.13</w:t>
      </w:r>
      <w:bookmarkEnd w:id="15"/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 concessão da aposentadoria e verifica que o percentual de proporcionalidade refere-se a 100%;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atribui 0 (zero) ao valor proporcional e ao valor proporcional limitado;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considera o valor final da aposentadoria como o  próprio valor limitado da média;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MSG2201</w:t>
      </w:r>
      <w:r>
        <w:t xml:space="preserve"> ("Reajuste efetuado com sucesso!").</w:t>
      </w:r>
    </w:p>
    <w:p w:rsidR="00D474C5" w:rsidRDefault="00D474C5" w:rsidP="00D474C5">
      <w:pPr>
        <w:pStyle w:val="Ttulo4"/>
        <w:numPr>
          <w:ilvl w:val="0"/>
          <w:numId w:val="0"/>
        </w:numPr>
        <w:ind w:left="1080"/>
      </w:pPr>
    </w:p>
    <w:p w:rsidR="00D474C5" w:rsidRDefault="00D474C5" w:rsidP="0042797A">
      <w:pPr>
        <w:pStyle w:val="Ttulo2"/>
      </w:pPr>
      <w:bookmarkStart w:id="16" w:name="_Toc223835705"/>
      <w:bookmarkStart w:id="17" w:name="_Toc404613813"/>
      <w:r>
        <w:t xml:space="preserve">Excluir Reajuste de </w:t>
      </w:r>
      <w:bookmarkEnd w:id="16"/>
      <w:r>
        <w:t>Proventos de Aposentadoria sem Paridade</w:t>
      </w:r>
      <w:bookmarkEnd w:id="17"/>
    </w:p>
    <w:p w:rsidR="00D474C5" w:rsidRDefault="00D474C5" w:rsidP="00D474C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223835706"/>
      <w:bookmarkStart w:id="19" w:name="_Toc404613814"/>
      <w:r>
        <w:t>Fluxo Básico</w:t>
      </w:r>
      <w:bookmarkEnd w:id="18"/>
      <w:bookmarkEnd w:id="19"/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o reajuste após executar a funcionalidade “Listar Reajuste de Proventos de Aposentadoria sem Paridade”;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excluir o reajuste selecionado;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RGN2.1.69.17</w:t>
      </w:r>
      <w:r>
        <w:t>)</w:t>
      </w:r>
      <w:r>
        <w:rPr>
          <w:b/>
          <w:bCs w:val="0"/>
        </w:rPr>
        <w:t>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todos os históricos de valores de aposentadoria sem paridade associados ao reajuste selecionado;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a exclusão do reajuste de proventos de aposentadoria sem paridade;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D474C5" w:rsidRDefault="00D474C5" w:rsidP="00D474C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613815"/>
      <w:r>
        <w:lastRenderedPageBreak/>
        <w:t>Fluxo alternativo – Não existe folha do tipo aposentadoria calculada em definitivo no mês/ano – substitui a partir do passo 4.1.1.6</w:t>
      </w:r>
      <w:bookmarkEnd w:id="20"/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 folha do tipo Aposentadoria calculada em definitivo na referência informada;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RGN2.1.69.15</w:t>
      </w:r>
      <w:r>
        <w:t>);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4.2.1.4.</w:t>
      </w:r>
    </w:p>
    <w:p w:rsidR="00D474C5" w:rsidRDefault="00D474C5" w:rsidP="00D474C5">
      <w:pPr>
        <w:pStyle w:val="Ttulo4"/>
        <w:numPr>
          <w:ilvl w:val="0"/>
          <w:numId w:val="0"/>
        </w:numPr>
        <w:ind w:left="1080"/>
      </w:pPr>
    </w:p>
    <w:p w:rsidR="00D474C5" w:rsidRDefault="00D474C5" w:rsidP="00D474C5"/>
    <w:p w:rsidR="00D474C5" w:rsidRDefault="00D474C5" w:rsidP="0042797A">
      <w:pPr>
        <w:pStyle w:val="Ttulo2"/>
      </w:pPr>
      <w:bookmarkStart w:id="21" w:name="_Toc223835707"/>
      <w:bookmarkStart w:id="22" w:name="_Toc404613816"/>
      <w:r>
        <w:t xml:space="preserve">Listar Reajuste </w:t>
      </w:r>
      <w:bookmarkEnd w:id="21"/>
      <w:r>
        <w:t>de Proventos de Aposentadoria sem Paridade</w:t>
      </w:r>
      <w:bookmarkEnd w:id="22"/>
    </w:p>
    <w:p w:rsidR="00D474C5" w:rsidRDefault="00D474C5" w:rsidP="00D474C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223835708"/>
      <w:bookmarkStart w:id="24" w:name="_Toc404613817"/>
      <w:r>
        <w:t>Fluxo Básico</w:t>
      </w:r>
      <w:bookmarkEnd w:id="23"/>
      <w:bookmarkEnd w:id="24"/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de reajustes de proventos de aposentadoria sem paridade;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filtros de pesquisa;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filtros;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Listar;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os reajustes cadastrados conforme filtros de pesquisa informados e em ordem decrescente pela Data Início do reajuste. </w:t>
      </w:r>
    </w:p>
    <w:p w:rsidR="00D474C5" w:rsidRDefault="00D474C5" w:rsidP="00D474C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223835709"/>
      <w:bookmarkStart w:id="26" w:name="_Toc404613818"/>
      <w:r>
        <w:t xml:space="preserve">Fluxo Alternativo – Detalhar reajuste de </w:t>
      </w:r>
      <w:bookmarkEnd w:id="25"/>
      <w:r>
        <w:t>proventos de aposentadoria sem paridade</w:t>
      </w:r>
      <w:bookmarkEnd w:id="26"/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invoca o detalhamento do reajuste de proventos de aposentadoria sem paridade;</w:t>
      </w:r>
    </w:p>
    <w:p w:rsidR="00D474C5" w:rsidRDefault="00D474C5" w:rsidP="00D474C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detalha o reajuste selecionado; </w:t>
      </w:r>
    </w:p>
    <w:p w:rsidR="00D474C5" w:rsidRDefault="00D474C5" w:rsidP="00D474C5"/>
    <w:p w:rsidR="00D474C5" w:rsidRDefault="00D474C5" w:rsidP="00D474C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7" w:name="_Toc223835710"/>
      <w:bookmarkStart w:id="28" w:name="_Toc404613819"/>
      <w:r>
        <w:lastRenderedPageBreak/>
        <w:t>Regras Gerais</w:t>
      </w:r>
      <w:bookmarkEnd w:id="27"/>
      <w:bookmarkEnd w:id="28"/>
    </w:p>
    <w:p w:rsidR="00D474C5" w:rsidRDefault="00D474C5" w:rsidP="00D474C5"/>
    <w:p w:rsidR="00D474C5" w:rsidRDefault="00D474C5" w:rsidP="00D474C5">
      <w:pPr>
        <w:ind w:left="540"/>
        <w:rPr>
          <w:rFonts w:cs="Arial"/>
        </w:rPr>
      </w:pPr>
      <w:r>
        <w:rPr>
          <w:rFonts w:cs="Arial"/>
        </w:rPr>
        <w:t>As regras estão definidas no documento padrão Regras de Negócio.RN do módulo de Pagamento.</w:t>
      </w:r>
    </w:p>
    <w:p w:rsidR="00D474C5" w:rsidRDefault="00D474C5" w:rsidP="00D474C5"/>
    <w:p w:rsidR="00D474C5" w:rsidRDefault="00D474C5" w:rsidP="00D474C5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223835711"/>
      <w:bookmarkStart w:id="30" w:name="_Toc404613820"/>
      <w:r>
        <w:t>Anexos</w:t>
      </w:r>
      <w:bookmarkEnd w:id="29"/>
      <w:bookmarkEnd w:id="30"/>
    </w:p>
    <w:p w:rsidR="00D474C5" w:rsidRDefault="00D474C5" w:rsidP="00D474C5"/>
    <w:p w:rsidR="00D474C5" w:rsidRDefault="00D474C5" w:rsidP="00D474C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D474C5" w:rsidRDefault="00D474C5" w:rsidP="00D474C5">
      <w:pPr>
        <w:widowControl w:val="0"/>
        <w:ind w:left="1080"/>
        <w:rPr>
          <w:rFonts w:cs="Arial"/>
        </w:rPr>
      </w:pPr>
    </w:p>
    <w:sectPr w:rsidR="00D474C5" w:rsidSect="0042797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70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4C5" w:rsidRDefault="00D474C5" w:rsidP="002908D9">
      <w:r>
        <w:separator/>
      </w:r>
    </w:p>
  </w:endnote>
  <w:endnote w:type="continuationSeparator" w:id="0">
    <w:p w:rsidR="00D474C5" w:rsidRDefault="00D474C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2797A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474C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474C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2797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474C5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474C5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2797A" w:rsidRPr="0042797A">
            <w:rPr>
              <w:b/>
              <w:sz w:val="20"/>
              <w:szCs w:val="20"/>
            </w:rPr>
            <w:t>UCS0367 - Reajustar Proventos de Aposentadoria sem Paridade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7C156DC" wp14:editId="7F2E2005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4C5" w:rsidRDefault="00D474C5" w:rsidP="002908D9">
      <w:r>
        <w:separator/>
      </w:r>
    </w:p>
  </w:footnote>
  <w:footnote w:type="continuationSeparator" w:id="0">
    <w:p w:rsidR="00D474C5" w:rsidRDefault="00D474C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42797A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8D11BD7" wp14:editId="6925ECD2">
          <wp:simplePos x="0" y="0"/>
          <wp:positionH relativeFrom="column">
            <wp:posOffset>4248150</wp:posOffset>
          </wp:positionH>
          <wp:positionV relativeFrom="paragraph">
            <wp:posOffset>-159385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EFB110C" wp14:editId="30C9F49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EBA2398" wp14:editId="55F46206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B6157EC" wp14:editId="0076C71D">
          <wp:simplePos x="0" y="0"/>
          <wp:positionH relativeFrom="column">
            <wp:posOffset>4514850</wp:posOffset>
          </wp:positionH>
          <wp:positionV relativeFrom="paragraph">
            <wp:posOffset>-73660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FFA4EA4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4C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D411D"/>
    <w:rsid w:val="00290019"/>
    <w:rsid w:val="002908D9"/>
    <w:rsid w:val="002D336A"/>
    <w:rsid w:val="003274E5"/>
    <w:rsid w:val="003328F5"/>
    <w:rsid w:val="00374B36"/>
    <w:rsid w:val="0037750D"/>
    <w:rsid w:val="00381644"/>
    <w:rsid w:val="0042797A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474C5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74C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474C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2797A"/>
    <w:pPr>
      <w:numPr>
        <w:ilvl w:val="1"/>
        <w:numId w:val="17"/>
      </w:numPr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474C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474C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474C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474C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474C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474C5"/>
    <w:pPr>
      <w:ind w:left="0"/>
    </w:pPr>
  </w:style>
  <w:style w:type="paragraph" w:styleId="ndicedeilustraes">
    <w:name w:val="table of figures"/>
    <w:basedOn w:val="Normal"/>
    <w:next w:val="Normal"/>
    <w:semiHidden/>
    <w:rsid w:val="00D474C5"/>
  </w:style>
  <w:style w:type="paragraph" w:styleId="Sumrio2">
    <w:name w:val="toc 2"/>
    <w:basedOn w:val="Normal"/>
    <w:next w:val="Normal"/>
    <w:autoRedefine/>
    <w:uiPriority w:val="39"/>
    <w:rsid w:val="00D474C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474C5"/>
    <w:pPr>
      <w:ind w:left="480"/>
    </w:pPr>
  </w:style>
  <w:style w:type="character" w:styleId="Hyperlink">
    <w:name w:val="Hyperlink"/>
    <w:basedOn w:val="Fontepargpadro"/>
    <w:uiPriority w:val="99"/>
    <w:rsid w:val="00D474C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474C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474C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474C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474C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474C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474C5"/>
    <w:rPr>
      <w:sz w:val="16"/>
    </w:rPr>
  </w:style>
  <w:style w:type="character" w:styleId="Nmerodepgina">
    <w:name w:val="page number"/>
    <w:basedOn w:val="Fontepargpadro"/>
    <w:rsid w:val="00D474C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474C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474C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474C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474C5"/>
  </w:style>
  <w:style w:type="paragraph" w:styleId="Corpodetexto">
    <w:name w:val="Body Text"/>
    <w:basedOn w:val="Normal"/>
    <w:link w:val="CorpodetextoChar"/>
    <w:rsid w:val="00D474C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474C5"/>
    <w:rPr>
      <w:rFonts w:eastAsia="Arial Unicode MS"/>
    </w:rPr>
  </w:style>
  <w:style w:type="paragraph" w:customStyle="1" w:styleId="tabletext">
    <w:name w:val="tabletext"/>
    <w:basedOn w:val="Normal"/>
    <w:rsid w:val="00D474C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474C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474C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474C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474C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474C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474C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474C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474C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474C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74C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474C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2797A"/>
    <w:pPr>
      <w:numPr>
        <w:ilvl w:val="1"/>
        <w:numId w:val="17"/>
      </w:numPr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474C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474C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474C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474C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474C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474C5"/>
    <w:pPr>
      <w:ind w:left="0"/>
    </w:pPr>
  </w:style>
  <w:style w:type="paragraph" w:styleId="ndicedeilustraes">
    <w:name w:val="table of figures"/>
    <w:basedOn w:val="Normal"/>
    <w:next w:val="Normal"/>
    <w:semiHidden/>
    <w:rsid w:val="00D474C5"/>
  </w:style>
  <w:style w:type="paragraph" w:styleId="Sumrio2">
    <w:name w:val="toc 2"/>
    <w:basedOn w:val="Normal"/>
    <w:next w:val="Normal"/>
    <w:autoRedefine/>
    <w:uiPriority w:val="39"/>
    <w:rsid w:val="00D474C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474C5"/>
    <w:pPr>
      <w:ind w:left="480"/>
    </w:pPr>
  </w:style>
  <w:style w:type="character" w:styleId="Hyperlink">
    <w:name w:val="Hyperlink"/>
    <w:basedOn w:val="Fontepargpadro"/>
    <w:uiPriority w:val="99"/>
    <w:rsid w:val="00D474C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474C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474C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474C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474C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474C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474C5"/>
    <w:rPr>
      <w:sz w:val="16"/>
    </w:rPr>
  </w:style>
  <w:style w:type="character" w:styleId="Nmerodepgina">
    <w:name w:val="page number"/>
    <w:basedOn w:val="Fontepargpadro"/>
    <w:rsid w:val="00D474C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474C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474C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474C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474C5"/>
  </w:style>
  <w:style w:type="paragraph" w:styleId="Corpodetexto">
    <w:name w:val="Body Text"/>
    <w:basedOn w:val="Normal"/>
    <w:link w:val="CorpodetextoChar"/>
    <w:rsid w:val="00D474C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474C5"/>
    <w:rPr>
      <w:rFonts w:eastAsia="Arial Unicode MS"/>
    </w:rPr>
  </w:style>
  <w:style w:type="paragraph" w:customStyle="1" w:styleId="tabletext">
    <w:name w:val="tabletext"/>
    <w:basedOn w:val="Normal"/>
    <w:rsid w:val="00D474C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474C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474C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474C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474C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474C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474C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474C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474C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474C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BE7CA-A261-4B99-BEFE-F1ABF2734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9</Pages>
  <Words>1052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2014-11-09T03:58:00Z</cp:lastPrinted>
  <dcterms:created xsi:type="dcterms:W3CDTF">2014-11-09T03:58:00Z</dcterms:created>
  <dcterms:modified xsi:type="dcterms:W3CDTF">2014-11-24T19:34:00Z</dcterms:modified>
</cp:coreProperties>
</file>