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69FC" w:rsidRDefault="00A069FC" w:rsidP="00A069FC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069FC" w:rsidRDefault="00A069FC" w:rsidP="00A069FC">
      <w:pPr>
        <w:widowControl w:val="0"/>
        <w:rPr>
          <w:rFonts w:cs="Arial"/>
          <w:sz w:val="20"/>
        </w:rPr>
      </w:pPr>
    </w:p>
    <w:p w:rsidR="00A069FC" w:rsidRDefault="00A069FC" w:rsidP="00A069FC">
      <w:pPr>
        <w:widowControl w:val="0"/>
        <w:rPr>
          <w:rFonts w:cs="Arial"/>
          <w:sz w:val="20"/>
        </w:rPr>
      </w:pPr>
    </w:p>
    <w:p w:rsidR="00A069FC" w:rsidRDefault="00A069FC" w:rsidP="00A069FC">
      <w:pPr>
        <w:widowControl w:val="0"/>
        <w:rPr>
          <w:rFonts w:cs="Arial"/>
          <w:sz w:val="20"/>
        </w:rPr>
      </w:pPr>
    </w:p>
    <w:p w:rsidR="00A069FC" w:rsidRDefault="00A069FC" w:rsidP="00A069FC">
      <w:pPr>
        <w:widowControl w:val="0"/>
        <w:rPr>
          <w:rFonts w:cs="Arial"/>
          <w:sz w:val="20"/>
        </w:rPr>
      </w:pPr>
    </w:p>
    <w:p w:rsidR="00A069FC" w:rsidRDefault="00A069FC" w:rsidP="00A069FC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069FC" w:rsidRDefault="00A069FC" w:rsidP="00A069FC">
      <w:pPr>
        <w:widowControl w:val="0"/>
        <w:rPr>
          <w:rFonts w:cs="Arial"/>
          <w:sz w:val="20"/>
          <w:u w:val="single"/>
        </w:rPr>
      </w:pPr>
    </w:p>
    <w:p w:rsidR="00A069FC" w:rsidRDefault="00A069FC" w:rsidP="00A069FC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069FC" w:rsidRDefault="00A069FC" w:rsidP="00A069FC">
      <w:pPr>
        <w:widowControl w:val="0"/>
        <w:rPr>
          <w:rFonts w:cs="Arial"/>
          <w:sz w:val="20"/>
        </w:rPr>
      </w:pPr>
    </w:p>
    <w:p w:rsidR="00A069FC" w:rsidRDefault="00A069FC" w:rsidP="00A069FC">
      <w:pPr>
        <w:widowControl w:val="0"/>
        <w:rPr>
          <w:rFonts w:cs="Arial"/>
          <w:sz w:val="20"/>
        </w:rPr>
      </w:pPr>
    </w:p>
    <w:p w:rsidR="00A069FC" w:rsidRDefault="00A069FC" w:rsidP="00A069FC">
      <w:pPr>
        <w:widowControl w:val="0"/>
        <w:rPr>
          <w:rFonts w:cs="Arial"/>
          <w:sz w:val="20"/>
        </w:rPr>
      </w:pPr>
    </w:p>
    <w:p w:rsidR="00A069FC" w:rsidRDefault="00A069FC" w:rsidP="00A069FC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069FC" w:rsidRDefault="00A069FC" w:rsidP="00A069FC">
      <w:pPr>
        <w:widowControl w:val="0"/>
        <w:rPr>
          <w:rFonts w:cs="Arial"/>
          <w:sz w:val="20"/>
        </w:rPr>
      </w:pPr>
    </w:p>
    <w:p w:rsidR="00A069FC" w:rsidRDefault="00A069FC" w:rsidP="00A069FC">
      <w:pPr>
        <w:widowControl w:val="0"/>
        <w:rPr>
          <w:rFonts w:cs="Arial"/>
          <w:sz w:val="20"/>
        </w:rPr>
      </w:pPr>
    </w:p>
    <w:p w:rsidR="00A069FC" w:rsidRDefault="00A069FC" w:rsidP="00A069FC">
      <w:pPr>
        <w:widowControl w:val="0"/>
        <w:rPr>
          <w:rFonts w:cs="Arial"/>
        </w:rPr>
      </w:pPr>
    </w:p>
    <w:p w:rsidR="00A069FC" w:rsidRDefault="00A069FC" w:rsidP="00A069FC">
      <w:pPr>
        <w:pStyle w:val="Capa"/>
        <w:rPr>
          <w:color w:val="FF9900"/>
        </w:rPr>
      </w:pPr>
      <w:r>
        <w:t>SINDRAPE</w:t>
      </w:r>
    </w:p>
    <w:p w:rsidR="00A069FC" w:rsidRDefault="00A069FC" w:rsidP="00A069FC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A069FC" w:rsidRPr="00A069FC" w:rsidRDefault="00A069FC" w:rsidP="00A069FC">
      <w:pPr>
        <w:widowControl w:val="0"/>
        <w:rPr>
          <w:color w:val="000080"/>
        </w:rPr>
      </w:pPr>
    </w:p>
    <w:p w:rsidR="00A069FC" w:rsidRPr="00A069FC" w:rsidRDefault="00A069FC" w:rsidP="00A069FC">
      <w:pPr>
        <w:widowControl w:val="0"/>
        <w:jc w:val="right"/>
        <w:rPr>
          <w:rFonts w:cs="Arial"/>
          <w:b/>
          <w:bCs/>
          <w:color w:val="000080"/>
        </w:rPr>
      </w:pPr>
    </w:p>
    <w:p w:rsidR="00A069FC" w:rsidRDefault="00A069FC" w:rsidP="00A069FC">
      <w:pPr>
        <w:pStyle w:val="Capa"/>
      </w:pPr>
      <w:r>
        <w:t>UCS0368 - Bloquear Consignações para Servidores</w:t>
      </w:r>
    </w:p>
    <w:p w:rsidR="00A069FC" w:rsidRDefault="00A069FC" w:rsidP="00A069FC">
      <w:pPr>
        <w:widowControl w:val="0"/>
        <w:rPr>
          <w:rFonts w:cs="Arial"/>
        </w:rPr>
      </w:pPr>
    </w:p>
    <w:p w:rsidR="00A069FC" w:rsidRDefault="00A069FC" w:rsidP="00A069FC">
      <w:pPr>
        <w:widowControl w:val="0"/>
      </w:pPr>
    </w:p>
    <w:p w:rsidR="00A069FC" w:rsidRDefault="00A069FC" w:rsidP="00A069FC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A069FC" w:rsidRPr="00A069FC" w:rsidRDefault="00A069FC" w:rsidP="00A069FC">
      <w:pPr>
        <w:pStyle w:val="Corpodetexto3"/>
        <w:widowControl w:val="0"/>
        <w:spacing w:after="0"/>
        <w:rPr>
          <w:rFonts w:cs="Arial"/>
        </w:rPr>
      </w:pPr>
      <w:r w:rsidRPr="00A069FC">
        <w:rPr>
          <w:rFonts w:cs="Arial"/>
        </w:rPr>
        <w:lastRenderedPageBreak/>
        <w:t>Histórico de Revisões</w:t>
      </w:r>
    </w:p>
    <w:p w:rsidR="00A069FC" w:rsidRDefault="00A069FC" w:rsidP="00A069FC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A069FC" w:rsidTr="00A069FC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69FC" w:rsidRDefault="00A069FC" w:rsidP="00A069FC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69FC" w:rsidRDefault="00A069FC" w:rsidP="00A069FC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69FC" w:rsidRDefault="00A069FC" w:rsidP="00A069FC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69FC" w:rsidRDefault="00A069FC" w:rsidP="00A069FC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A069FC" w:rsidTr="00A069FC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69FC" w:rsidRDefault="00A069FC" w:rsidP="00A069F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18/03/2009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69FC" w:rsidRDefault="00A069FC" w:rsidP="00A069F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69FC" w:rsidRDefault="00A069FC" w:rsidP="00A069F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69FC" w:rsidRDefault="00A069FC" w:rsidP="00A069F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Tiago Schraiber</w:t>
            </w:r>
          </w:p>
        </w:tc>
      </w:tr>
    </w:tbl>
    <w:p w:rsidR="00A069FC" w:rsidRDefault="00A069FC" w:rsidP="00A069FC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A069FC" w:rsidRPr="00A069FC" w:rsidRDefault="00A069FC" w:rsidP="00A069FC">
      <w:pPr>
        <w:pStyle w:val="Corpodetexto3"/>
        <w:widowControl w:val="0"/>
        <w:spacing w:after="0"/>
        <w:jc w:val="left"/>
        <w:rPr>
          <w:rFonts w:cs="Arial"/>
        </w:rPr>
      </w:pPr>
      <w:r w:rsidRPr="00A069FC">
        <w:rPr>
          <w:rFonts w:cs="Arial"/>
        </w:rPr>
        <w:lastRenderedPageBreak/>
        <w:t>Índice</w:t>
      </w:r>
    </w:p>
    <w:p w:rsidR="00A069FC" w:rsidRPr="00A069FC" w:rsidRDefault="00A069FC" w:rsidP="00A069FC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C0696A" w:rsidRDefault="00A069F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613396" w:history="1">
        <w:r w:rsidR="00C0696A" w:rsidRPr="000970DC">
          <w:rPr>
            <w:rStyle w:val="Hyperlink"/>
            <w:noProof/>
          </w:rPr>
          <w:t>1.</w:t>
        </w:r>
        <w:r w:rsidR="00C0696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0696A" w:rsidRPr="000970DC">
          <w:rPr>
            <w:rStyle w:val="Hyperlink"/>
            <w:noProof/>
          </w:rPr>
          <w:t>Pacote/Caso de Uso</w:t>
        </w:r>
        <w:r w:rsidR="00C0696A">
          <w:rPr>
            <w:noProof/>
            <w:webHidden/>
          </w:rPr>
          <w:tab/>
        </w:r>
        <w:r w:rsidR="00C0696A">
          <w:rPr>
            <w:noProof/>
            <w:webHidden/>
          </w:rPr>
          <w:fldChar w:fldCharType="begin"/>
        </w:r>
        <w:r w:rsidR="00C0696A">
          <w:rPr>
            <w:noProof/>
            <w:webHidden/>
          </w:rPr>
          <w:instrText xml:space="preserve"> PAGEREF _Toc404613396 \h </w:instrText>
        </w:r>
        <w:r w:rsidR="00C0696A">
          <w:rPr>
            <w:noProof/>
            <w:webHidden/>
          </w:rPr>
        </w:r>
        <w:r w:rsidR="00C0696A">
          <w:rPr>
            <w:noProof/>
            <w:webHidden/>
          </w:rPr>
          <w:fldChar w:fldCharType="separate"/>
        </w:r>
        <w:r w:rsidR="00C0696A">
          <w:rPr>
            <w:noProof/>
            <w:webHidden/>
          </w:rPr>
          <w:t>4</w:t>
        </w:r>
        <w:r w:rsidR="00C0696A">
          <w:rPr>
            <w:noProof/>
            <w:webHidden/>
          </w:rPr>
          <w:fldChar w:fldCharType="end"/>
        </w:r>
      </w:hyperlink>
    </w:p>
    <w:p w:rsidR="00C0696A" w:rsidRDefault="00C0696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3397" w:history="1">
        <w:r w:rsidRPr="000970DC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70DC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_Toc404613397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0696A" w:rsidRDefault="00C0696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3398" w:history="1">
        <w:r w:rsidRPr="000970DC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70DC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_Toc404613398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0696A" w:rsidRDefault="00C0696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3399" w:history="1">
        <w:r w:rsidRPr="000970DC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70DC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_Toc404613399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0696A" w:rsidRDefault="00C0696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3400" w:history="1">
        <w:r w:rsidRPr="000970DC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70DC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_Toc404613400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0696A" w:rsidRDefault="00C0696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3401" w:history="1">
        <w:r w:rsidRPr="000970DC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70DC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_Toc404613401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0696A" w:rsidRDefault="00C0696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3402" w:history="1">
        <w:r w:rsidRPr="000970DC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70DC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_Toc404613402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0696A" w:rsidRDefault="00C0696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3403" w:history="1">
        <w:r w:rsidRPr="000970DC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70DC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_Toc404613403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0696A" w:rsidRDefault="00C0696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3404" w:history="1">
        <w:r w:rsidRPr="000970DC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70DC">
          <w:rPr>
            <w:rStyle w:val="Hyperlink"/>
            <w:noProof/>
          </w:rPr>
          <w:t>Incluir Bloqueio de Consignações para Servidores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_Toc404613404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0696A" w:rsidRDefault="00C0696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3405" w:history="1">
        <w:r w:rsidRPr="000970DC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70DC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_Toc404613405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0696A" w:rsidRDefault="00C0696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3406" w:history="1">
        <w:r w:rsidRPr="000970DC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70DC">
          <w:rPr>
            <w:rStyle w:val="Hyperlink"/>
            <w:noProof/>
          </w:rPr>
          <w:t>Alterar Bloqueio de Consignações para Servidores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_Toc404613406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0696A" w:rsidRDefault="00C0696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3407" w:history="1">
        <w:r w:rsidRPr="000970DC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70DC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_Toc404613407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0696A" w:rsidRDefault="00C0696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3408" w:history="1">
        <w:r w:rsidRPr="000970DC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70DC">
          <w:rPr>
            <w:rStyle w:val="Hyperlink"/>
            <w:noProof/>
          </w:rPr>
          <w:t>Excluir Bloqueio de Consignações para Servidores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_Toc404613408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0696A" w:rsidRDefault="00C0696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3409" w:history="1">
        <w:r w:rsidRPr="000970DC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70DC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_Toc404613409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0696A" w:rsidRDefault="00C0696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3410" w:history="1">
        <w:r w:rsidRPr="000970DC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70DC">
          <w:rPr>
            <w:rStyle w:val="Hyperlink"/>
            <w:noProof/>
          </w:rPr>
          <w:t>Finalizar Bloqueio de Consignações para Servidores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_Toc404613410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0696A" w:rsidRDefault="00C0696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3411" w:history="1">
        <w:r w:rsidRPr="000970DC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70DC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_Toc404613411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0696A" w:rsidRDefault="00C0696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3412" w:history="1">
        <w:r w:rsidRPr="000970DC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70DC">
          <w:rPr>
            <w:rStyle w:val="Hyperlink"/>
            <w:noProof/>
          </w:rPr>
          <w:t>Listar Bloqueio de Consignações para Servidores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_Toc404613412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C0696A" w:rsidRDefault="00C0696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3413" w:history="1">
        <w:r w:rsidRPr="000970DC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70DC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_Toc404613413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C0696A" w:rsidRDefault="00C0696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3414" w:history="1">
        <w:r w:rsidRPr="000970DC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70DC">
          <w:rPr>
            <w:rStyle w:val="Hyperlink"/>
            <w:noProof/>
          </w:rPr>
          <w:t>Abrangência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_Toc404613414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C0696A" w:rsidRDefault="00C0696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3415" w:history="1">
        <w:r w:rsidRPr="000970DC">
          <w:rPr>
            <w:rStyle w:val="Hyperlink"/>
            <w:noProof/>
          </w:rPr>
          <w:t>5.1.1.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70DC">
          <w:rPr>
            <w:rStyle w:val="Hyperlink"/>
            <w:noProof/>
          </w:rPr>
          <w:t>Abrangência na inclusão de bloqueio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_Toc404613415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C0696A" w:rsidRDefault="00C0696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3416" w:history="1">
        <w:r w:rsidRPr="000970DC">
          <w:rPr>
            <w:rStyle w:val="Hyperlink"/>
            <w:noProof/>
          </w:rPr>
          <w:t>5.1.2.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70DC">
          <w:rPr>
            <w:rStyle w:val="Hyperlink"/>
            <w:noProof/>
          </w:rPr>
          <w:t>Abrangência na alteração de bloqueio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_Toc404613416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C0696A" w:rsidRDefault="00C0696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3417" w:history="1">
        <w:r w:rsidRPr="000970DC">
          <w:rPr>
            <w:rStyle w:val="Hyperlink"/>
            <w:noProof/>
          </w:rPr>
          <w:t>5.1.3.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70DC">
          <w:rPr>
            <w:rStyle w:val="Hyperlink"/>
            <w:noProof/>
          </w:rPr>
          <w:t>Abrangência na anulação de bloqueio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_Toc404613417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C0696A" w:rsidRDefault="00C0696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3418" w:history="1">
        <w:r w:rsidRPr="000970DC">
          <w:rPr>
            <w:rStyle w:val="Hyperlink"/>
            <w:noProof/>
          </w:rPr>
          <w:t>5.1.4.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70DC">
          <w:rPr>
            <w:rStyle w:val="Hyperlink"/>
            <w:noProof/>
          </w:rPr>
          <w:t>Abrangência na reativação de bloqueio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_Toc404613418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C0696A" w:rsidRDefault="00C0696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3419" w:history="1">
        <w:r w:rsidRPr="000970DC">
          <w:rPr>
            <w:rStyle w:val="Hyperlink"/>
            <w:noProof/>
          </w:rPr>
          <w:t>5.1.5.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70DC">
          <w:rPr>
            <w:rStyle w:val="Hyperlink"/>
            <w:noProof/>
          </w:rPr>
          <w:t>Abrangência na exclusão de bloqueio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_Toc404613419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C0696A" w:rsidRDefault="00C0696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3420" w:history="1">
        <w:r w:rsidRPr="000970DC">
          <w:rPr>
            <w:rStyle w:val="Hyperlink"/>
            <w:noProof/>
          </w:rPr>
          <w:t>5.1.6.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70DC">
          <w:rPr>
            <w:rStyle w:val="Hyperlink"/>
            <w:noProof/>
          </w:rPr>
          <w:t>Abrangência na impressão e listagem do bloqueio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_Toc404613420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C0696A" w:rsidRDefault="00C0696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3421" w:history="1">
        <w:r w:rsidRPr="000970DC">
          <w:rPr>
            <w:rStyle w:val="Hyperlink"/>
            <w:noProof/>
          </w:rPr>
          <w:t>5.1.7.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70DC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_Toc404613421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A069FC" w:rsidRDefault="00A069FC" w:rsidP="00A069FC">
      <w:pPr>
        <w:pStyle w:val="Sumrio1"/>
      </w:pPr>
      <w:r>
        <w:fldChar w:fldCharType="end"/>
      </w:r>
    </w:p>
    <w:p w:rsidR="00A069FC" w:rsidRDefault="00A069FC" w:rsidP="00A069FC">
      <w:pPr>
        <w:pStyle w:val="Heading"/>
        <w:jc w:val="center"/>
      </w:pPr>
    </w:p>
    <w:p w:rsidR="00A069FC" w:rsidRDefault="00A069FC" w:rsidP="00A069FC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A069FC" w:rsidRDefault="00A069FC" w:rsidP="00A069FC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613396"/>
      <w:r>
        <w:lastRenderedPageBreak/>
        <w:t>Pacote/Caso de Uso</w:t>
      </w:r>
      <w:bookmarkEnd w:id="1"/>
    </w:p>
    <w:p w:rsidR="00A069FC" w:rsidRDefault="00A069FC" w:rsidP="00A069FC"/>
    <w:p w:rsidR="00A069FC" w:rsidRDefault="00A069FC" w:rsidP="00A069FC">
      <w:pPr>
        <w:widowControl w:val="0"/>
        <w:ind w:left="360"/>
        <w:rPr>
          <w:rFonts w:cs="Arial"/>
          <w:b/>
          <w:bCs/>
          <w:color w:val="000080"/>
          <w:sz w:val="28"/>
        </w:rPr>
      </w:pPr>
      <w:r>
        <w:rPr>
          <w:rFonts w:cs="Arial"/>
          <w:b/>
          <w:bCs/>
          <w:color w:val="000080"/>
          <w:sz w:val="28"/>
        </w:rPr>
        <w:t>Bloquear consignações para servidores</w:t>
      </w:r>
    </w:p>
    <w:p w:rsidR="00A069FC" w:rsidRDefault="00A069FC" w:rsidP="00A069FC">
      <w:pPr>
        <w:widowControl w:val="0"/>
        <w:ind w:left="902"/>
        <w:rPr>
          <w:rFonts w:cs="Arial"/>
          <w:b/>
          <w:bCs/>
          <w:color w:val="FF0000"/>
        </w:rPr>
      </w:pPr>
    </w:p>
    <w:p w:rsidR="00A069FC" w:rsidRDefault="00A069FC" w:rsidP="00C0696A">
      <w:pPr>
        <w:pStyle w:val="Ttulo2"/>
      </w:pPr>
      <w:bookmarkStart w:id="2" w:name="_Toc404613397"/>
      <w:r>
        <w:t>Descrição</w:t>
      </w:r>
      <w:bookmarkEnd w:id="2"/>
    </w:p>
    <w:p w:rsidR="00A069FC" w:rsidRDefault="00A069FC" w:rsidP="00A069FC">
      <w:pPr>
        <w:pStyle w:val="Recuodecorpodetexto2"/>
        <w:widowControl w:val="0"/>
        <w:ind w:left="1620" w:firstLine="0"/>
        <w:rPr>
          <w:sz w:val="24"/>
        </w:rPr>
      </w:pPr>
    </w:p>
    <w:p w:rsidR="00A069FC" w:rsidRPr="00C60AF5" w:rsidRDefault="00A069FC" w:rsidP="00A069FC">
      <w:pPr>
        <w:spacing w:after="120"/>
        <w:ind w:left="539" w:firstLine="1"/>
      </w:pPr>
      <w:r w:rsidRPr="00C60AF5">
        <w:t>Bloquear para determinados servidores, a concessão de todas ou algumas consignações.</w:t>
      </w:r>
    </w:p>
    <w:p w:rsidR="00A069FC" w:rsidRPr="00C60AF5" w:rsidRDefault="00A069FC" w:rsidP="00A069FC">
      <w:pPr>
        <w:spacing w:after="120"/>
        <w:ind w:left="539" w:firstLine="1"/>
      </w:pPr>
      <w:r w:rsidRPr="00C60AF5">
        <w:t>Bloquear para determinados servidores, a concessão de todas as concessões de um determinado tipo de serviço.</w:t>
      </w:r>
    </w:p>
    <w:p w:rsidR="00A069FC" w:rsidRDefault="00A069FC" w:rsidP="00A069FC">
      <w:pPr>
        <w:pStyle w:val="Recuodecorpodetexto2"/>
        <w:widowControl w:val="0"/>
        <w:ind w:left="1620" w:firstLine="0"/>
        <w:rPr>
          <w:sz w:val="24"/>
        </w:rPr>
      </w:pPr>
    </w:p>
    <w:p w:rsidR="00A069FC" w:rsidRDefault="00A069FC" w:rsidP="00C0696A">
      <w:pPr>
        <w:pStyle w:val="Ttulo2"/>
      </w:pPr>
      <w:bookmarkStart w:id="3" w:name="_Toc404613398"/>
      <w:r>
        <w:t>Requisitos atendidos</w:t>
      </w:r>
      <w:bookmarkEnd w:id="3"/>
    </w:p>
    <w:p w:rsidR="00A069FC" w:rsidRDefault="00A069FC" w:rsidP="00A069FC"/>
    <w:p w:rsidR="00A069FC" w:rsidRPr="00C60AF5" w:rsidRDefault="00A069FC" w:rsidP="00A069FC">
      <w:pPr>
        <w:pStyle w:val="Recuodecorpodetexto"/>
        <w:ind w:left="1260"/>
      </w:pPr>
      <w:r>
        <w:t>R4 - Bloqueio de Consignações p</w:t>
      </w:r>
      <w:r w:rsidRPr="00C60AF5">
        <w:t>ara Servidores</w:t>
      </w:r>
    </w:p>
    <w:p w:rsidR="00A069FC" w:rsidRDefault="00A069FC" w:rsidP="00A069FC"/>
    <w:p w:rsidR="00A069FC" w:rsidRDefault="00A069FC" w:rsidP="00A069FC">
      <w:pPr>
        <w:pStyle w:val="Ttulo1"/>
        <w:keepNext w:val="0"/>
        <w:widowControl w:val="0"/>
        <w:spacing w:before="0" w:line="240" w:lineRule="auto"/>
        <w:ind w:left="540" w:hanging="540"/>
      </w:pPr>
      <w:bookmarkStart w:id="4" w:name="_Toc404613399"/>
      <w:r>
        <w:t>Conceito</w:t>
      </w:r>
      <w:bookmarkEnd w:id="4"/>
      <w:r>
        <w:tab/>
      </w:r>
    </w:p>
    <w:p w:rsidR="00A069FC" w:rsidRDefault="00A069FC" w:rsidP="00A069FC"/>
    <w:p w:rsidR="00A069FC" w:rsidRDefault="00A069FC" w:rsidP="00C0696A">
      <w:pPr>
        <w:pStyle w:val="Ttulo2"/>
      </w:pPr>
      <w:bookmarkStart w:id="5" w:name="_Toc404613400"/>
      <w:r>
        <w:t>Conceitos principais</w:t>
      </w:r>
      <w:bookmarkEnd w:id="5"/>
    </w:p>
    <w:p w:rsidR="00A069FC" w:rsidRDefault="00A069FC" w:rsidP="00A069FC">
      <w:pPr>
        <w:rPr>
          <w:rFonts w:cs="Arial"/>
        </w:rPr>
      </w:pPr>
    </w:p>
    <w:tbl>
      <w:tblPr>
        <w:tblStyle w:val="Tabelacomgrade"/>
        <w:tblW w:w="0" w:type="auto"/>
        <w:tblLook w:val="01E0" w:firstRow="1" w:lastRow="1" w:firstColumn="1" w:lastColumn="1" w:noHBand="0" w:noVBand="0"/>
      </w:tblPr>
      <w:tblGrid>
        <w:gridCol w:w="4371"/>
        <w:gridCol w:w="4349"/>
      </w:tblGrid>
      <w:tr w:rsidR="00A069FC" w:rsidTr="00FF700E">
        <w:tc>
          <w:tcPr>
            <w:tcW w:w="4605" w:type="dxa"/>
          </w:tcPr>
          <w:p w:rsidR="00A069FC" w:rsidRPr="00C60AF5" w:rsidRDefault="00A069FC" w:rsidP="00A069FC">
            <w:pPr>
              <w:ind w:left="0"/>
              <w:jc w:val="left"/>
              <w:rPr>
                <w:rFonts w:cs="Arial"/>
                <w:b/>
              </w:rPr>
            </w:pPr>
            <w:r w:rsidRPr="00C60AF5">
              <w:rPr>
                <w:rFonts w:cs="Arial"/>
                <w:b/>
              </w:rPr>
              <w:t>Consignações: bloqueio para servidores</w:t>
            </w:r>
          </w:p>
        </w:tc>
        <w:tc>
          <w:tcPr>
            <w:tcW w:w="4606" w:type="dxa"/>
          </w:tcPr>
          <w:p w:rsidR="00A069FC" w:rsidRDefault="00A069FC" w:rsidP="00FF700E">
            <w:pPr>
              <w:pStyle w:val="Recuodecorpodetexto2"/>
              <w:widowControl w:val="0"/>
              <w:ind w:firstLine="0"/>
              <w:rPr>
                <w:sz w:val="24"/>
              </w:rPr>
            </w:pPr>
            <w:r>
              <w:rPr>
                <w:sz w:val="24"/>
              </w:rPr>
              <w:t>Relação das consignações bloqueadas para determinados servidores.</w:t>
            </w:r>
          </w:p>
          <w:p w:rsidR="00A069FC" w:rsidRDefault="00A069FC" w:rsidP="00FF700E">
            <w:pPr>
              <w:rPr>
                <w:rFonts w:cs="Arial"/>
              </w:rPr>
            </w:pPr>
          </w:p>
        </w:tc>
      </w:tr>
    </w:tbl>
    <w:p w:rsidR="00A069FC" w:rsidRDefault="00A069FC" w:rsidP="00A069FC">
      <w:pPr>
        <w:rPr>
          <w:rFonts w:cs="Arial"/>
        </w:rPr>
      </w:pPr>
    </w:p>
    <w:p w:rsidR="00A069FC" w:rsidRDefault="00A069FC" w:rsidP="00A069FC">
      <w:pPr>
        <w:rPr>
          <w:rFonts w:cs="Arial"/>
        </w:rPr>
      </w:pPr>
    </w:p>
    <w:p w:rsidR="00A069FC" w:rsidRDefault="00A069FC" w:rsidP="00C0696A">
      <w:pPr>
        <w:pStyle w:val="Ttulo2"/>
      </w:pPr>
      <w:bookmarkStart w:id="6" w:name="_Toc404613401"/>
      <w:r>
        <w:t>Conceitos associados</w:t>
      </w:r>
      <w:bookmarkEnd w:id="6"/>
    </w:p>
    <w:p w:rsidR="00C0696A" w:rsidRDefault="00C0696A" w:rsidP="00A069FC">
      <w:pPr>
        <w:rPr>
          <w:rFonts w:eastAsia="Arial Unicode MS"/>
        </w:rPr>
      </w:pPr>
    </w:p>
    <w:p w:rsidR="00A069FC" w:rsidRDefault="00C0696A" w:rsidP="00A069FC">
      <w:pPr>
        <w:rPr>
          <w:rFonts w:eastAsia="Arial Unicode MS"/>
        </w:rPr>
      </w:pPr>
      <w:r>
        <w:rPr>
          <w:rFonts w:eastAsia="Arial Unicode MS"/>
        </w:rPr>
        <w:t>Não se aplica.</w:t>
      </w:r>
    </w:p>
    <w:p w:rsidR="00A069FC" w:rsidRDefault="00A069FC" w:rsidP="00A069FC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7" w:name="_Toc404613402"/>
      <w:r>
        <w:lastRenderedPageBreak/>
        <w:t>Diagrama</w:t>
      </w:r>
      <w:bookmarkEnd w:id="7"/>
    </w:p>
    <w:p w:rsidR="00A069FC" w:rsidRDefault="00A069FC" w:rsidP="00A069FC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A069FC" w:rsidRPr="0044096F" w:rsidRDefault="00C0696A" w:rsidP="00A069FC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w:drawing>
          <wp:inline distT="0" distB="0" distL="0" distR="0" wp14:anchorId="609C6539" wp14:editId="6AE42BA6">
            <wp:extent cx="5391150" cy="525780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525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69FC" w:rsidRDefault="00A069FC" w:rsidP="00A069FC">
      <w:pPr>
        <w:widowControl w:val="0"/>
        <w:jc w:val="center"/>
        <w:rPr>
          <w:rFonts w:cs="Arial"/>
        </w:rPr>
      </w:pPr>
    </w:p>
    <w:p w:rsidR="00A069FC" w:rsidRDefault="00A069FC" w:rsidP="00A069FC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613403"/>
      <w:r>
        <w:lastRenderedPageBreak/>
        <w:t>Casos de Uso</w:t>
      </w:r>
      <w:bookmarkEnd w:id="8"/>
    </w:p>
    <w:p w:rsidR="00A069FC" w:rsidRPr="00B51BA8" w:rsidRDefault="00A069FC" w:rsidP="00C0696A">
      <w:pPr>
        <w:pStyle w:val="Ttulo2"/>
      </w:pPr>
      <w:bookmarkStart w:id="9" w:name="_Toc404613404"/>
      <w:r w:rsidRPr="00B51BA8">
        <w:t>Incluir Bloqueio de Consignações para Servidores</w:t>
      </w:r>
      <w:bookmarkEnd w:id="9"/>
      <w:r w:rsidRPr="00B51BA8">
        <w:t> </w:t>
      </w:r>
    </w:p>
    <w:p w:rsidR="00A069FC" w:rsidRDefault="00A069FC" w:rsidP="00A069FC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0" w:name="_Toc404613405"/>
      <w:r>
        <w:t>Fluxo Básico</w:t>
      </w:r>
      <w:bookmarkEnd w:id="10"/>
    </w:p>
    <w:p w:rsidR="00A069FC" w:rsidRDefault="00A069FC" w:rsidP="00A069F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para incluir bloqueio de consignações para servidores.</w:t>
      </w:r>
    </w:p>
    <w:p w:rsidR="00A069FC" w:rsidRDefault="00A069FC" w:rsidP="00A069F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apresenta formulário para preenchimento.</w:t>
      </w:r>
    </w:p>
    <w:p w:rsidR="00A069FC" w:rsidRDefault="00A069FC" w:rsidP="00A069F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necessários.</w:t>
      </w:r>
    </w:p>
    <w:p w:rsidR="00A069FC" w:rsidRDefault="00A069FC" w:rsidP="00A069F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operação de inclusão.</w:t>
      </w:r>
    </w:p>
    <w:p w:rsidR="00A069FC" w:rsidRDefault="00A069FC" w:rsidP="00A069F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informações de acordo com as regras estabelecidas no documento Regras de Negócio do módulo de Pagamentos (</w:t>
      </w:r>
      <w:r w:rsidRPr="009F40D8">
        <w:rPr>
          <w:b/>
        </w:rPr>
        <w:t>RGN2.1.153.</w:t>
      </w:r>
      <w:r w:rsidRPr="00933C99">
        <w:rPr>
          <w:b/>
        </w:rPr>
        <w:t>1</w:t>
      </w:r>
      <w:r>
        <w:rPr>
          <w:b/>
        </w:rPr>
        <w:t>, RGN2.1.68</w:t>
      </w:r>
      <w:r w:rsidRPr="009F40D8">
        <w:rPr>
          <w:b/>
        </w:rPr>
        <w:t>.</w:t>
      </w:r>
      <w:r w:rsidRPr="00933C99">
        <w:rPr>
          <w:b/>
        </w:rPr>
        <w:t>1</w:t>
      </w:r>
      <w:r>
        <w:rPr>
          <w:b/>
        </w:rPr>
        <w:t>, RGN2.1.68</w:t>
      </w:r>
      <w:r w:rsidRPr="009F40D8">
        <w:rPr>
          <w:b/>
        </w:rPr>
        <w:t>.</w:t>
      </w:r>
      <w:r>
        <w:rPr>
          <w:b/>
        </w:rPr>
        <w:t>2</w:t>
      </w:r>
      <w:r>
        <w:t>).</w:t>
      </w:r>
    </w:p>
    <w:p w:rsidR="00A069FC" w:rsidRDefault="00A069FC" w:rsidP="00A069F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inclui os dados do bloqueio.</w:t>
      </w:r>
    </w:p>
    <w:p w:rsidR="00A069FC" w:rsidRDefault="00A069FC" w:rsidP="00A069F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Caso informado, o sistema inclui as consignações informadas que devem ser bloqueadas.</w:t>
      </w:r>
    </w:p>
    <w:p w:rsidR="00A069FC" w:rsidRDefault="00A069FC" w:rsidP="00A069F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Caso informado, o sistema inclui os tipos de serviço informados que devem ser bloqueados.</w:t>
      </w:r>
    </w:p>
    <w:p w:rsidR="00A069FC" w:rsidRDefault="00A069FC" w:rsidP="00A069F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processa a operação e exibe a mensagem MSG0050 ("Inclusão efetuada com sucesso!").</w:t>
      </w:r>
    </w:p>
    <w:p w:rsidR="00A069FC" w:rsidRDefault="00A069FC" w:rsidP="00A069FC">
      <w:pPr>
        <w:pStyle w:val="Recuodecorpodetexto"/>
        <w:ind w:left="0"/>
      </w:pPr>
    </w:p>
    <w:p w:rsidR="00A069FC" w:rsidRDefault="00A069FC" w:rsidP="00A069FC">
      <w:pPr>
        <w:pStyle w:val="Recuodecorpodetexto"/>
        <w:ind w:left="0"/>
      </w:pPr>
    </w:p>
    <w:p w:rsidR="00A069FC" w:rsidRPr="00B51BA8" w:rsidRDefault="00A069FC" w:rsidP="00C0696A">
      <w:pPr>
        <w:pStyle w:val="Ttulo2"/>
      </w:pPr>
      <w:bookmarkStart w:id="11" w:name="_Toc404613406"/>
      <w:r w:rsidRPr="00B51BA8">
        <w:t>Alterar Bloqueio de Consignações para Servidores</w:t>
      </w:r>
      <w:bookmarkEnd w:id="11"/>
      <w:r w:rsidRPr="00B51BA8">
        <w:t> </w:t>
      </w:r>
    </w:p>
    <w:p w:rsidR="00A069FC" w:rsidRDefault="00A069FC" w:rsidP="00A069FC">
      <w:pPr>
        <w:pStyle w:val="Ttulo3"/>
        <w:keepNext w:val="0"/>
        <w:widowControl w:val="0"/>
        <w:spacing w:before="120" w:line="240" w:lineRule="auto"/>
        <w:ind w:left="1620" w:hanging="900"/>
      </w:pPr>
      <w:bookmarkStart w:id="12" w:name="_Toc404613407"/>
      <w:r>
        <w:t>Fluxo Básico</w:t>
      </w:r>
      <w:bookmarkEnd w:id="12"/>
    </w:p>
    <w:p w:rsidR="00A069FC" w:rsidRDefault="00A069FC" w:rsidP="00A069F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o bloqueio do servidor, após executar a funcionalidade “</w:t>
      </w:r>
      <w:r w:rsidRPr="00A16D71">
        <w:t xml:space="preserve">Listar </w:t>
      </w:r>
      <w:r>
        <w:t xml:space="preserve">bloqueios de consignações”. </w:t>
      </w:r>
    </w:p>
    <w:p w:rsidR="00A069FC" w:rsidRDefault="00A069FC" w:rsidP="00A069F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operação alterar – informações principais.</w:t>
      </w:r>
    </w:p>
    <w:p w:rsidR="00A069FC" w:rsidRDefault="00A069FC" w:rsidP="00A069F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apresenta formulário para preenchimento com os dados do bloqueio selecionado.</w:t>
      </w:r>
    </w:p>
    <w:p w:rsidR="00A069FC" w:rsidRDefault="00A069FC" w:rsidP="00A069F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altera os dados necessários e submete a operação.</w:t>
      </w:r>
    </w:p>
    <w:p w:rsidR="00A069FC" w:rsidRDefault="00A069FC" w:rsidP="00A069F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informações de acordo com as regras estabelecidas no documento Regras de Negócio do módulo de Pagamentos (</w:t>
      </w:r>
      <w:r w:rsidRPr="009F40D8">
        <w:rPr>
          <w:b/>
        </w:rPr>
        <w:t>RGN2.1.153.</w:t>
      </w:r>
      <w:r w:rsidRPr="00933C99">
        <w:rPr>
          <w:b/>
        </w:rPr>
        <w:t>1,</w:t>
      </w:r>
      <w:r>
        <w:rPr>
          <w:b/>
          <w:color w:val="FF0000"/>
        </w:rPr>
        <w:t xml:space="preserve"> </w:t>
      </w:r>
      <w:r>
        <w:rPr>
          <w:b/>
          <w:color w:val="000000"/>
        </w:rPr>
        <w:t>RGN2.1.154.1</w:t>
      </w:r>
      <w:r>
        <w:t>).</w:t>
      </w:r>
    </w:p>
    <w:p w:rsidR="00A069FC" w:rsidRDefault="00A069FC" w:rsidP="00A069F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altera os dados do bloqueio.</w:t>
      </w:r>
    </w:p>
    <w:p w:rsidR="00A069FC" w:rsidRDefault="00A069FC" w:rsidP="00A069F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Caso informado, o sistema altera (inclui ou exclui) as consignações informadas que devem ser bloqueadas.</w:t>
      </w:r>
    </w:p>
    <w:p w:rsidR="00A069FC" w:rsidRDefault="00A069FC" w:rsidP="00A069F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Caso informado, o sistema altera (inclui ou exclui) os tipos de serviço informados que devem ser bloqueados.</w:t>
      </w:r>
    </w:p>
    <w:p w:rsidR="00A069FC" w:rsidRDefault="00A069FC" w:rsidP="00A069F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processa a operação e exibe a mensagem </w:t>
      </w:r>
      <w:r>
        <w:lastRenderedPageBreak/>
        <w:t>MSG0051 ("Alteração efetuada com sucesso!").</w:t>
      </w:r>
    </w:p>
    <w:p w:rsidR="00A069FC" w:rsidRDefault="00A069FC" w:rsidP="00A069FC">
      <w:pPr>
        <w:pStyle w:val="Recuodecorpodetexto"/>
      </w:pPr>
    </w:p>
    <w:p w:rsidR="00A069FC" w:rsidRPr="00B51BA8" w:rsidRDefault="00A069FC" w:rsidP="00C0696A">
      <w:pPr>
        <w:pStyle w:val="Ttulo2"/>
      </w:pPr>
      <w:bookmarkStart w:id="13" w:name="_Toc404613408"/>
      <w:r w:rsidRPr="00B51BA8">
        <w:t>Excluir Bloqueio de Consignações para Servidores</w:t>
      </w:r>
      <w:bookmarkEnd w:id="13"/>
      <w:r w:rsidRPr="00B51BA8">
        <w:t> </w:t>
      </w:r>
    </w:p>
    <w:p w:rsidR="00A069FC" w:rsidRDefault="00A069FC" w:rsidP="00A069FC">
      <w:pPr>
        <w:pStyle w:val="Ttulo3"/>
        <w:keepNext w:val="0"/>
        <w:widowControl w:val="0"/>
        <w:spacing w:before="120" w:line="240" w:lineRule="auto"/>
        <w:ind w:left="1620" w:hanging="900"/>
      </w:pPr>
      <w:bookmarkStart w:id="14" w:name="_Toc404613409"/>
      <w:r>
        <w:t>Fluxo Básico</w:t>
      </w:r>
      <w:bookmarkEnd w:id="14"/>
    </w:p>
    <w:p w:rsidR="00A069FC" w:rsidRDefault="00A069FC" w:rsidP="00A069F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o bloqueio do servidor, após executar a funcionalidade “</w:t>
      </w:r>
      <w:r w:rsidRPr="00A16D71">
        <w:t xml:space="preserve">Listar </w:t>
      </w:r>
      <w:r>
        <w:t xml:space="preserve">bloqueios de consignações”. </w:t>
      </w:r>
    </w:p>
    <w:p w:rsidR="00A069FC" w:rsidRDefault="00A069FC" w:rsidP="00A069F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operação excluir.</w:t>
      </w:r>
    </w:p>
    <w:p w:rsidR="00A069FC" w:rsidRDefault="00A069FC" w:rsidP="00A069F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informações de acordo com as regras estabelecidas no documento Regras de Negócio do módulo de Pagamentos (</w:t>
      </w:r>
      <w:r>
        <w:rPr>
          <w:b/>
          <w:color w:val="000000"/>
        </w:rPr>
        <w:t>RGN2.1.154.1</w:t>
      </w:r>
      <w:r>
        <w:t>).</w:t>
      </w:r>
    </w:p>
    <w:p w:rsidR="00A069FC" w:rsidRDefault="00A069FC" w:rsidP="00A069F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exclui o bloqueio selecionado.</w:t>
      </w:r>
    </w:p>
    <w:p w:rsidR="00A069FC" w:rsidRDefault="00A069FC" w:rsidP="00A069F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Caso exista, o sistema exclui a relação das consignações bloqueadas associadas ao bloqueio em questão.</w:t>
      </w:r>
    </w:p>
    <w:p w:rsidR="00A069FC" w:rsidRDefault="00A069FC" w:rsidP="00A069F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Caso exista, o sistema exclui a relação dos tipos de serviço bloqueados associados ao bloqueio em questão.</w:t>
      </w:r>
    </w:p>
    <w:p w:rsidR="00A069FC" w:rsidRDefault="00A069FC" w:rsidP="00A069F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processa a operação e exibe a mensagem MSG0052 ("Exclusão efetuada com sucesso!").</w:t>
      </w:r>
    </w:p>
    <w:p w:rsidR="00A069FC" w:rsidRDefault="00A069FC" w:rsidP="00A069FC">
      <w:pPr>
        <w:pStyle w:val="Recuodecorpodetexto"/>
        <w:ind w:left="0"/>
      </w:pPr>
    </w:p>
    <w:p w:rsidR="00A069FC" w:rsidRPr="00B51BA8" w:rsidRDefault="00A069FC" w:rsidP="00C0696A">
      <w:pPr>
        <w:pStyle w:val="Ttulo2"/>
      </w:pPr>
      <w:bookmarkStart w:id="15" w:name="_Toc404613410"/>
      <w:r w:rsidRPr="00B51BA8">
        <w:t>Finalizar Bloqueio de Consignações para Servidores</w:t>
      </w:r>
      <w:bookmarkEnd w:id="15"/>
      <w:r w:rsidRPr="00B51BA8">
        <w:t> </w:t>
      </w:r>
    </w:p>
    <w:p w:rsidR="00A069FC" w:rsidRDefault="00A069FC" w:rsidP="00A069FC">
      <w:pPr>
        <w:pStyle w:val="Ttulo3"/>
        <w:keepNext w:val="0"/>
        <w:widowControl w:val="0"/>
        <w:spacing w:before="120" w:line="240" w:lineRule="auto"/>
        <w:ind w:left="1620" w:hanging="900"/>
      </w:pPr>
      <w:bookmarkStart w:id="16" w:name="_Toc404613411"/>
      <w:r>
        <w:t>Fluxo Básico</w:t>
      </w:r>
      <w:bookmarkEnd w:id="16"/>
    </w:p>
    <w:p w:rsidR="00A069FC" w:rsidRDefault="00A069FC" w:rsidP="00A069F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o bloqueio do servidor, após executar a funcionalidade “</w:t>
      </w:r>
      <w:r w:rsidRPr="00A16D71">
        <w:t xml:space="preserve">Listar </w:t>
      </w:r>
      <w:r>
        <w:t xml:space="preserve">bloqueios de consignações”. </w:t>
      </w:r>
    </w:p>
    <w:p w:rsidR="00A069FC" w:rsidRDefault="00A069FC" w:rsidP="00A069F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operação finalizar.</w:t>
      </w:r>
    </w:p>
    <w:p w:rsidR="00A069FC" w:rsidRDefault="00A069FC" w:rsidP="00A069F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apresenta formulário para preenchimento com os dados do bloqueio selecionado.</w:t>
      </w:r>
    </w:p>
    <w:p w:rsidR="00A069FC" w:rsidRDefault="00A069FC" w:rsidP="00A069F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a data final do bloqueio e submete a operação.</w:t>
      </w:r>
    </w:p>
    <w:p w:rsidR="00A069FC" w:rsidRDefault="00A069FC" w:rsidP="00A069F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informações de acordo com as regras estabelecidas no documento Regras de Negócio do módulo de Pagamentos (</w:t>
      </w:r>
      <w:r>
        <w:rPr>
          <w:b/>
        </w:rPr>
        <w:t>RGN2.</w:t>
      </w:r>
      <w:r w:rsidRPr="009F40D8">
        <w:rPr>
          <w:b/>
        </w:rPr>
        <w:t>1.153.</w:t>
      </w:r>
      <w:r w:rsidRPr="00933C99">
        <w:rPr>
          <w:b/>
        </w:rPr>
        <w:t>1</w:t>
      </w:r>
      <w:r>
        <w:rPr>
          <w:b/>
          <w:color w:val="000000"/>
        </w:rPr>
        <w:t xml:space="preserve">, </w:t>
      </w:r>
      <w:r>
        <w:rPr>
          <w:b/>
        </w:rPr>
        <w:t>RGN2.1.155</w:t>
      </w:r>
      <w:r w:rsidRPr="009F40D8">
        <w:rPr>
          <w:b/>
        </w:rPr>
        <w:t>.</w:t>
      </w:r>
      <w:r w:rsidRPr="00933C99">
        <w:rPr>
          <w:b/>
        </w:rPr>
        <w:t>1</w:t>
      </w:r>
      <w:r>
        <w:rPr>
          <w:b/>
        </w:rPr>
        <w:t>, RGN2.2.3.2</w:t>
      </w:r>
      <w:r>
        <w:t>).</w:t>
      </w:r>
    </w:p>
    <w:p w:rsidR="00A069FC" w:rsidRDefault="00A069FC" w:rsidP="00A069F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atualiza a data final do bloqueio selecionado.</w:t>
      </w:r>
    </w:p>
    <w:p w:rsidR="00A069FC" w:rsidRDefault="00A069FC" w:rsidP="00A069F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processa a operação e exibe a mensagem MSG0051 ("Alteração efetuada com sucesso!").</w:t>
      </w:r>
    </w:p>
    <w:p w:rsidR="00A069FC" w:rsidRDefault="00A069FC" w:rsidP="00A069FC">
      <w:pPr>
        <w:pStyle w:val="Recuodecorpodetexto"/>
        <w:ind w:left="0"/>
      </w:pPr>
    </w:p>
    <w:p w:rsidR="00A069FC" w:rsidRDefault="00A069FC" w:rsidP="00A069FC">
      <w:pPr>
        <w:pStyle w:val="Recuodecorpodetexto"/>
        <w:ind w:left="0"/>
      </w:pPr>
    </w:p>
    <w:p w:rsidR="00A069FC" w:rsidRDefault="00A069FC" w:rsidP="00A069FC">
      <w:pPr>
        <w:pStyle w:val="Recuodecorpodetexto"/>
        <w:ind w:left="0"/>
      </w:pPr>
    </w:p>
    <w:p w:rsidR="00A069FC" w:rsidRPr="00B51BA8" w:rsidRDefault="00A069FC" w:rsidP="00C0696A">
      <w:pPr>
        <w:pStyle w:val="Ttulo2"/>
      </w:pPr>
      <w:bookmarkStart w:id="17" w:name="_Toc404613412"/>
      <w:r w:rsidRPr="00B51BA8">
        <w:lastRenderedPageBreak/>
        <w:t>Listar Bloqueio de Consignações para Servidores</w:t>
      </w:r>
      <w:bookmarkEnd w:id="17"/>
      <w:r w:rsidRPr="00B51BA8">
        <w:t> </w:t>
      </w:r>
    </w:p>
    <w:p w:rsidR="00A069FC" w:rsidRDefault="00A069FC" w:rsidP="00A069FC">
      <w:pPr>
        <w:pStyle w:val="Ttulo3"/>
        <w:keepNext w:val="0"/>
        <w:widowControl w:val="0"/>
        <w:spacing w:before="120" w:line="240" w:lineRule="auto"/>
        <w:ind w:left="1620" w:hanging="900"/>
      </w:pPr>
      <w:bookmarkStart w:id="18" w:name="_Toc404613413"/>
      <w:r>
        <w:t>Fluxo Básico</w:t>
      </w:r>
      <w:bookmarkEnd w:id="18"/>
    </w:p>
    <w:p w:rsidR="00A069FC" w:rsidRDefault="00A069FC" w:rsidP="00A069F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bloqueios de consignações para servidores.</w:t>
      </w:r>
    </w:p>
    <w:p w:rsidR="00A069FC" w:rsidRDefault="00A069FC" w:rsidP="00A069F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exibe os filtros de pesquisa. </w:t>
      </w:r>
    </w:p>
    <w:p w:rsidR="00A069FC" w:rsidRDefault="00A069FC" w:rsidP="00A069F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necessários e submete a operação.</w:t>
      </w:r>
    </w:p>
    <w:p w:rsidR="00A069FC" w:rsidRDefault="00A069FC" w:rsidP="00A069F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uma lista de bloqueios, de acordo com os filtros informados, ordenada alfabeticamente pelo nome do servidor e decrescentemente pela data inicial do bloqueio.</w:t>
      </w:r>
    </w:p>
    <w:p w:rsidR="00A069FC" w:rsidRDefault="00A069FC" w:rsidP="00A069FC">
      <w:pPr>
        <w:pStyle w:val="Recuodecorpodetexto"/>
      </w:pPr>
    </w:p>
    <w:p w:rsidR="00A069FC" w:rsidRDefault="00A069FC" w:rsidP="00A069FC">
      <w:pPr>
        <w:pStyle w:val="Recuodecorpodetexto"/>
      </w:pPr>
    </w:p>
    <w:p w:rsidR="00A069FC" w:rsidRDefault="00A069FC" w:rsidP="00A069FC">
      <w:pPr>
        <w:pStyle w:val="Recuodecorpodetexto"/>
      </w:pPr>
    </w:p>
    <w:p w:rsidR="00A069FC" w:rsidRDefault="00A069FC" w:rsidP="00A069FC">
      <w:pPr>
        <w:pStyle w:val="Recuodecorpodetexto"/>
      </w:pPr>
    </w:p>
    <w:p w:rsidR="00A069FC" w:rsidRDefault="00A069FC" w:rsidP="00A069FC">
      <w:pPr>
        <w:pStyle w:val="Recuodecorpodetexto"/>
      </w:pPr>
    </w:p>
    <w:p w:rsidR="00A069FC" w:rsidRDefault="00A069FC" w:rsidP="00A069FC">
      <w:pPr>
        <w:pStyle w:val="Recuodecorpodetexto"/>
      </w:pPr>
    </w:p>
    <w:p w:rsidR="00A069FC" w:rsidRDefault="00A069FC" w:rsidP="00A069FC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19" w:name="_Toc404613414"/>
      <w:r>
        <w:t>Abrangência</w:t>
      </w:r>
      <w:bookmarkEnd w:id="19"/>
    </w:p>
    <w:p w:rsidR="00A069FC" w:rsidRDefault="00A069FC" w:rsidP="00A069FC">
      <w:pPr>
        <w:pStyle w:val="Recuodecorpodetexto"/>
      </w:pPr>
    </w:p>
    <w:p w:rsidR="00A069FC" w:rsidRDefault="00A069FC" w:rsidP="00A069FC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  <w:jc w:val="left"/>
      </w:pPr>
      <w:bookmarkStart w:id="20" w:name="_Toc193616614"/>
      <w:bookmarkStart w:id="21" w:name="_Toc200170618"/>
      <w:bookmarkStart w:id="22" w:name="_Toc404613415"/>
      <w:r>
        <w:t xml:space="preserve">Abrangência na inclusão </w:t>
      </w:r>
      <w:bookmarkEnd w:id="20"/>
      <w:r>
        <w:t xml:space="preserve">de </w:t>
      </w:r>
      <w:bookmarkEnd w:id="21"/>
      <w:r>
        <w:t>bloqueio</w:t>
      </w:r>
      <w:bookmarkEnd w:id="22"/>
    </w:p>
    <w:p w:rsidR="00A069FC" w:rsidRDefault="00A069FC" w:rsidP="00A069F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certifica que o ator pode incluir os dados do registro do servidor, verificando a abrangência de acesso a dados - </w:t>
      </w:r>
      <w:r>
        <w:rPr>
          <w:b/>
          <w:u w:val="single"/>
        </w:rPr>
        <w:t>quanto à inclusão</w:t>
      </w:r>
      <w:r>
        <w:t xml:space="preserve"> - que o mesmo possuir, levando em consideração:</w:t>
      </w:r>
    </w:p>
    <w:p w:rsidR="00A069FC" w:rsidRDefault="00A069FC" w:rsidP="00A069FC">
      <w:pPr>
        <w:numPr>
          <w:ilvl w:val="0"/>
          <w:numId w:val="18"/>
        </w:numPr>
        <w:spacing w:line="240" w:lineRule="auto"/>
        <w:jc w:val="left"/>
        <w:rPr>
          <w:rFonts w:cs="Arial"/>
        </w:rPr>
      </w:pPr>
      <w:r>
        <w:rPr>
          <w:rFonts w:cs="Arial"/>
        </w:rPr>
        <w:t>A situação previdenciária do vínculo apontado.</w:t>
      </w:r>
    </w:p>
    <w:p w:rsidR="00A069FC" w:rsidRDefault="00A069FC" w:rsidP="00A069FC">
      <w:pPr>
        <w:numPr>
          <w:ilvl w:val="0"/>
          <w:numId w:val="18"/>
        </w:numPr>
        <w:spacing w:line="240" w:lineRule="auto"/>
        <w:jc w:val="left"/>
        <w:rPr>
          <w:rFonts w:cs="Arial"/>
        </w:rPr>
      </w:pPr>
      <w:r>
        <w:rPr>
          <w:rFonts w:cs="Arial"/>
        </w:rPr>
        <w:t>A unidade organizacional do vínculo apontado.</w:t>
      </w:r>
    </w:p>
    <w:p w:rsidR="00A069FC" w:rsidRDefault="00A069FC" w:rsidP="00A069FC">
      <w:pPr>
        <w:numPr>
          <w:ilvl w:val="0"/>
          <w:numId w:val="18"/>
        </w:numPr>
        <w:spacing w:line="240" w:lineRule="auto"/>
        <w:jc w:val="left"/>
        <w:rPr>
          <w:rFonts w:cs="Arial"/>
        </w:rPr>
      </w:pPr>
      <w:r>
        <w:rPr>
          <w:rFonts w:cs="Arial"/>
        </w:rPr>
        <w:t>A relação de trabalho do vínculo apontado.</w:t>
      </w:r>
    </w:p>
    <w:p w:rsidR="00A069FC" w:rsidRDefault="00A069FC" w:rsidP="00A069FC">
      <w:pPr>
        <w:numPr>
          <w:ilvl w:val="0"/>
          <w:numId w:val="18"/>
        </w:numPr>
        <w:spacing w:line="240" w:lineRule="auto"/>
        <w:jc w:val="left"/>
        <w:rPr>
          <w:rFonts w:cs="Arial"/>
        </w:rPr>
      </w:pPr>
      <w:r>
        <w:rPr>
          <w:rFonts w:cs="Arial"/>
        </w:rPr>
        <w:t>A carreira do vínculo apontado.</w:t>
      </w:r>
    </w:p>
    <w:p w:rsidR="00A069FC" w:rsidRDefault="00A069FC" w:rsidP="00A069FC">
      <w:pPr>
        <w:numPr>
          <w:ilvl w:val="0"/>
          <w:numId w:val="18"/>
        </w:numPr>
        <w:spacing w:line="240" w:lineRule="auto"/>
        <w:jc w:val="left"/>
        <w:rPr>
          <w:rFonts w:cs="Arial"/>
        </w:rPr>
      </w:pPr>
      <w:r>
        <w:rPr>
          <w:rFonts w:cs="Arial"/>
        </w:rPr>
        <w:t xml:space="preserve">A região sob a qual a unidade organizacional do vínculo está associada. </w:t>
      </w:r>
    </w:p>
    <w:p w:rsidR="00A069FC" w:rsidRDefault="00A069FC" w:rsidP="00A069FC"/>
    <w:p w:rsidR="00A069FC" w:rsidRDefault="00A069FC" w:rsidP="00A069FC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  <w:jc w:val="left"/>
      </w:pPr>
      <w:bookmarkStart w:id="23" w:name="_Toc200170619"/>
      <w:bookmarkStart w:id="24" w:name="_Toc404613416"/>
      <w:r>
        <w:t>Abrangência na alteração de bloqueio</w:t>
      </w:r>
      <w:bookmarkEnd w:id="23"/>
      <w:bookmarkEnd w:id="24"/>
    </w:p>
    <w:p w:rsidR="00A069FC" w:rsidRDefault="00A069FC" w:rsidP="00A069F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certifica que o ator pode consultar os dados do registro do servidor, verificando a abrangência de acesso a dados - </w:t>
      </w:r>
      <w:r>
        <w:rPr>
          <w:b/>
          <w:u w:val="single"/>
        </w:rPr>
        <w:t>quanto à consulta</w:t>
      </w:r>
      <w:r>
        <w:t xml:space="preserve"> - que o mesmo possuir, levando em consideração:</w:t>
      </w:r>
    </w:p>
    <w:p w:rsidR="00A069FC" w:rsidRDefault="00A069FC" w:rsidP="00A069FC">
      <w:pPr>
        <w:numPr>
          <w:ilvl w:val="0"/>
          <w:numId w:val="18"/>
        </w:numPr>
        <w:spacing w:line="240" w:lineRule="auto"/>
        <w:jc w:val="left"/>
        <w:rPr>
          <w:rFonts w:cs="Arial"/>
        </w:rPr>
      </w:pPr>
      <w:r>
        <w:rPr>
          <w:rFonts w:cs="Arial"/>
        </w:rPr>
        <w:t>A situação previdenciária do vínculo apontado.</w:t>
      </w:r>
    </w:p>
    <w:p w:rsidR="00A069FC" w:rsidRDefault="00A069FC" w:rsidP="00A069FC">
      <w:pPr>
        <w:numPr>
          <w:ilvl w:val="0"/>
          <w:numId w:val="18"/>
        </w:numPr>
        <w:spacing w:line="240" w:lineRule="auto"/>
        <w:jc w:val="left"/>
        <w:rPr>
          <w:rFonts w:cs="Arial"/>
        </w:rPr>
      </w:pPr>
      <w:r>
        <w:rPr>
          <w:rFonts w:cs="Arial"/>
        </w:rPr>
        <w:t>A unidade organizacional do vínculo apontado.</w:t>
      </w:r>
    </w:p>
    <w:p w:rsidR="00A069FC" w:rsidRDefault="00A069FC" w:rsidP="00A069FC">
      <w:pPr>
        <w:numPr>
          <w:ilvl w:val="0"/>
          <w:numId w:val="18"/>
        </w:numPr>
        <w:spacing w:line="240" w:lineRule="auto"/>
        <w:jc w:val="left"/>
        <w:rPr>
          <w:rFonts w:cs="Arial"/>
        </w:rPr>
      </w:pPr>
      <w:r>
        <w:rPr>
          <w:rFonts w:cs="Arial"/>
        </w:rPr>
        <w:t>A relação de trabalho do vínculo apontado.</w:t>
      </w:r>
    </w:p>
    <w:p w:rsidR="00A069FC" w:rsidRDefault="00A069FC" w:rsidP="00A069FC">
      <w:pPr>
        <w:numPr>
          <w:ilvl w:val="0"/>
          <w:numId w:val="18"/>
        </w:numPr>
        <w:spacing w:line="240" w:lineRule="auto"/>
        <w:jc w:val="left"/>
        <w:rPr>
          <w:rFonts w:cs="Arial"/>
        </w:rPr>
      </w:pPr>
      <w:r>
        <w:rPr>
          <w:rFonts w:cs="Arial"/>
        </w:rPr>
        <w:t>A carreira do vínculo apontado.</w:t>
      </w:r>
    </w:p>
    <w:p w:rsidR="00A069FC" w:rsidRDefault="00A069FC" w:rsidP="00A069FC">
      <w:pPr>
        <w:numPr>
          <w:ilvl w:val="0"/>
          <w:numId w:val="18"/>
        </w:numPr>
        <w:spacing w:line="240" w:lineRule="auto"/>
        <w:jc w:val="left"/>
        <w:rPr>
          <w:rFonts w:cs="Arial"/>
        </w:rPr>
      </w:pPr>
      <w:r>
        <w:rPr>
          <w:rFonts w:cs="Arial"/>
        </w:rPr>
        <w:t xml:space="preserve">A região sob a qual a unidade organizacional do vínculo está associada. </w:t>
      </w:r>
    </w:p>
    <w:p w:rsidR="00A069FC" w:rsidRDefault="00A069FC" w:rsidP="00A069F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certifica que o ator pode alterar os dados do </w:t>
      </w:r>
      <w:r>
        <w:lastRenderedPageBreak/>
        <w:t xml:space="preserve">registro do servidor, verificando a abrangência de acesso a dados - </w:t>
      </w:r>
      <w:r>
        <w:rPr>
          <w:b/>
          <w:u w:val="single"/>
        </w:rPr>
        <w:t>quanto à alteração</w:t>
      </w:r>
      <w:r>
        <w:t xml:space="preserve"> - que o mesmo possuir, levando em consideração:</w:t>
      </w:r>
    </w:p>
    <w:p w:rsidR="00A069FC" w:rsidRDefault="00A069FC" w:rsidP="00A069FC">
      <w:pPr>
        <w:numPr>
          <w:ilvl w:val="0"/>
          <w:numId w:val="18"/>
        </w:numPr>
        <w:spacing w:line="240" w:lineRule="auto"/>
        <w:jc w:val="left"/>
        <w:rPr>
          <w:rFonts w:cs="Arial"/>
        </w:rPr>
      </w:pPr>
      <w:r>
        <w:rPr>
          <w:rFonts w:cs="Arial"/>
        </w:rPr>
        <w:t>A situação previdenciária do vínculo apontado.</w:t>
      </w:r>
    </w:p>
    <w:p w:rsidR="00A069FC" w:rsidRDefault="00A069FC" w:rsidP="00A069FC">
      <w:pPr>
        <w:numPr>
          <w:ilvl w:val="0"/>
          <w:numId w:val="18"/>
        </w:numPr>
        <w:spacing w:line="240" w:lineRule="auto"/>
        <w:jc w:val="left"/>
        <w:rPr>
          <w:rFonts w:cs="Arial"/>
        </w:rPr>
      </w:pPr>
      <w:r>
        <w:rPr>
          <w:rFonts w:cs="Arial"/>
        </w:rPr>
        <w:t>A unidade organizacional do vínculo apontado.</w:t>
      </w:r>
    </w:p>
    <w:p w:rsidR="00A069FC" w:rsidRDefault="00A069FC" w:rsidP="00A069FC">
      <w:pPr>
        <w:numPr>
          <w:ilvl w:val="0"/>
          <w:numId w:val="18"/>
        </w:numPr>
        <w:spacing w:line="240" w:lineRule="auto"/>
        <w:jc w:val="left"/>
        <w:rPr>
          <w:rFonts w:cs="Arial"/>
        </w:rPr>
      </w:pPr>
      <w:r>
        <w:rPr>
          <w:rFonts w:cs="Arial"/>
        </w:rPr>
        <w:t>A relação de trabalho do vínculo apontado.</w:t>
      </w:r>
    </w:p>
    <w:p w:rsidR="00A069FC" w:rsidRDefault="00A069FC" w:rsidP="00A069FC">
      <w:pPr>
        <w:numPr>
          <w:ilvl w:val="0"/>
          <w:numId w:val="18"/>
        </w:numPr>
        <w:spacing w:line="240" w:lineRule="auto"/>
        <w:jc w:val="left"/>
        <w:rPr>
          <w:rFonts w:cs="Arial"/>
        </w:rPr>
      </w:pPr>
      <w:r>
        <w:rPr>
          <w:rFonts w:cs="Arial"/>
        </w:rPr>
        <w:t>A carreira do vínculo apontado.</w:t>
      </w:r>
    </w:p>
    <w:p w:rsidR="00A069FC" w:rsidRDefault="00A069FC" w:rsidP="00A069FC">
      <w:pPr>
        <w:numPr>
          <w:ilvl w:val="0"/>
          <w:numId w:val="18"/>
        </w:numPr>
        <w:spacing w:line="240" w:lineRule="auto"/>
        <w:jc w:val="left"/>
        <w:rPr>
          <w:rFonts w:cs="Arial"/>
        </w:rPr>
      </w:pPr>
      <w:r>
        <w:rPr>
          <w:rFonts w:cs="Arial"/>
        </w:rPr>
        <w:t xml:space="preserve">A região sob a qual a unidade organizacional do vínculo está associada. </w:t>
      </w:r>
    </w:p>
    <w:p w:rsidR="00A069FC" w:rsidRDefault="00A069FC" w:rsidP="00A069FC">
      <w:pPr>
        <w:widowControl w:val="0"/>
        <w:ind w:left="540"/>
        <w:rPr>
          <w:rFonts w:cs="Arial"/>
        </w:rPr>
      </w:pPr>
    </w:p>
    <w:p w:rsidR="00A069FC" w:rsidRDefault="00A069FC" w:rsidP="00A069FC">
      <w:pPr>
        <w:widowControl w:val="0"/>
        <w:ind w:left="540"/>
        <w:rPr>
          <w:rFonts w:cs="Arial"/>
        </w:rPr>
      </w:pPr>
    </w:p>
    <w:p w:rsidR="00A069FC" w:rsidRDefault="00A069FC" w:rsidP="00A069FC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  <w:jc w:val="left"/>
      </w:pPr>
      <w:bookmarkStart w:id="25" w:name="_Toc200170620"/>
      <w:bookmarkStart w:id="26" w:name="_Toc404613417"/>
      <w:r>
        <w:t>Abrangência na anulação de bloqueio</w:t>
      </w:r>
      <w:bookmarkEnd w:id="25"/>
      <w:bookmarkEnd w:id="26"/>
    </w:p>
    <w:p w:rsidR="00A069FC" w:rsidRDefault="00A069FC" w:rsidP="00A069F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certifica que o ator pode anular os dados do registro do servidor, verificando a abrangência de acesso a dados - </w:t>
      </w:r>
      <w:r>
        <w:rPr>
          <w:b/>
          <w:u w:val="single"/>
        </w:rPr>
        <w:t>quanto à anulação</w:t>
      </w:r>
      <w:r>
        <w:t xml:space="preserve"> - que o mesmo possuir, levando em consideração:</w:t>
      </w:r>
    </w:p>
    <w:p w:rsidR="00A069FC" w:rsidRDefault="00A069FC" w:rsidP="00A069FC">
      <w:pPr>
        <w:numPr>
          <w:ilvl w:val="0"/>
          <w:numId w:val="18"/>
        </w:numPr>
        <w:spacing w:line="240" w:lineRule="auto"/>
        <w:jc w:val="left"/>
        <w:rPr>
          <w:rFonts w:cs="Arial"/>
        </w:rPr>
      </w:pPr>
      <w:r>
        <w:rPr>
          <w:rFonts w:cs="Arial"/>
        </w:rPr>
        <w:t>A situação previdenciária do vínculo apontado.</w:t>
      </w:r>
    </w:p>
    <w:p w:rsidR="00A069FC" w:rsidRDefault="00A069FC" w:rsidP="00A069FC">
      <w:pPr>
        <w:numPr>
          <w:ilvl w:val="0"/>
          <w:numId w:val="18"/>
        </w:numPr>
        <w:spacing w:line="240" w:lineRule="auto"/>
        <w:jc w:val="left"/>
        <w:rPr>
          <w:rFonts w:cs="Arial"/>
        </w:rPr>
      </w:pPr>
      <w:r>
        <w:rPr>
          <w:rFonts w:cs="Arial"/>
        </w:rPr>
        <w:t>A unidade organizacional do vínculo apontado.</w:t>
      </w:r>
    </w:p>
    <w:p w:rsidR="00A069FC" w:rsidRDefault="00A069FC" w:rsidP="00A069FC">
      <w:pPr>
        <w:numPr>
          <w:ilvl w:val="0"/>
          <w:numId w:val="18"/>
        </w:numPr>
        <w:spacing w:line="240" w:lineRule="auto"/>
        <w:jc w:val="left"/>
        <w:rPr>
          <w:rFonts w:cs="Arial"/>
        </w:rPr>
      </w:pPr>
      <w:r>
        <w:rPr>
          <w:rFonts w:cs="Arial"/>
        </w:rPr>
        <w:t>A relação de trabalho do vínculo apontado.</w:t>
      </w:r>
    </w:p>
    <w:p w:rsidR="00A069FC" w:rsidRDefault="00A069FC" w:rsidP="00A069FC">
      <w:pPr>
        <w:numPr>
          <w:ilvl w:val="0"/>
          <w:numId w:val="18"/>
        </w:numPr>
        <w:spacing w:line="240" w:lineRule="auto"/>
        <w:jc w:val="left"/>
        <w:rPr>
          <w:rFonts w:cs="Arial"/>
        </w:rPr>
      </w:pPr>
      <w:r>
        <w:rPr>
          <w:rFonts w:cs="Arial"/>
        </w:rPr>
        <w:t>A carreira do vínculo apontado.</w:t>
      </w:r>
    </w:p>
    <w:p w:rsidR="00A069FC" w:rsidRDefault="00A069FC" w:rsidP="00A069FC">
      <w:pPr>
        <w:numPr>
          <w:ilvl w:val="0"/>
          <w:numId w:val="18"/>
        </w:numPr>
        <w:spacing w:line="240" w:lineRule="auto"/>
        <w:jc w:val="left"/>
        <w:rPr>
          <w:rFonts w:cs="Arial"/>
        </w:rPr>
      </w:pPr>
      <w:r>
        <w:rPr>
          <w:rFonts w:cs="Arial"/>
        </w:rPr>
        <w:t xml:space="preserve">A região sob a qual a unidade organizacional do vínculo está associada. </w:t>
      </w:r>
    </w:p>
    <w:p w:rsidR="00A069FC" w:rsidRDefault="00A069FC" w:rsidP="00A069FC">
      <w:pPr>
        <w:widowControl w:val="0"/>
        <w:ind w:left="540"/>
        <w:rPr>
          <w:rFonts w:cs="Arial"/>
        </w:rPr>
      </w:pPr>
    </w:p>
    <w:p w:rsidR="00A069FC" w:rsidRDefault="00A069FC" w:rsidP="00A069FC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  <w:jc w:val="left"/>
      </w:pPr>
      <w:bookmarkStart w:id="27" w:name="_Toc200170621"/>
      <w:bookmarkStart w:id="28" w:name="_Toc404613418"/>
      <w:r>
        <w:t>Abrangência na reativação de bloqueio</w:t>
      </w:r>
      <w:bookmarkEnd w:id="27"/>
      <w:bookmarkEnd w:id="28"/>
    </w:p>
    <w:p w:rsidR="00A069FC" w:rsidRDefault="00A069FC" w:rsidP="00A069F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certifica que o ator pode reativar os dados do registro do servidor, verificando a abrangência de acesso a dados - </w:t>
      </w:r>
      <w:r>
        <w:rPr>
          <w:b/>
          <w:u w:val="single"/>
        </w:rPr>
        <w:t>quanto à reativação</w:t>
      </w:r>
      <w:r>
        <w:t xml:space="preserve"> - que o mesmo possuir, levando em consideração:</w:t>
      </w:r>
    </w:p>
    <w:p w:rsidR="00A069FC" w:rsidRDefault="00A069FC" w:rsidP="00A069FC">
      <w:pPr>
        <w:numPr>
          <w:ilvl w:val="0"/>
          <w:numId w:val="18"/>
        </w:numPr>
        <w:spacing w:line="240" w:lineRule="auto"/>
        <w:jc w:val="left"/>
        <w:rPr>
          <w:rFonts w:cs="Arial"/>
        </w:rPr>
      </w:pPr>
      <w:r>
        <w:rPr>
          <w:rFonts w:cs="Arial"/>
        </w:rPr>
        <w:t>A situação previdenciária do vínculo apontado.</w:t>
      </w:r>
    </w:p>
    <w:p w:rsidR="00A069FC" w:rsidRDefault="00A069FC" w:rsidP="00A069FC">
      <w:pPr>
        <w:numPr>
          <w:ilvl w:val="0"/>
          <w:numId w:val="18"/>
        </w:numPr>
        <w:spacing w:line="240" w:lineRule="auto"/>
        <w:jc w:val="left"/>
        <w:rPr>
          <w:rFonts w:cs="Arial"/>
        </w:rPr>
      </w:pPr>
      <w:r>
        <w:rPr>
          <w:rFonts w:cs="Arial"/>
        </w:rPr>
        <w:t>A unidade organizacional do vínculo apontado.</w:t>
      </w:r>
    </w:p>
    <w:p w:rsidR="00A069FC" w:rsidRDefault="00A069FC" w:rsidP="00A069FC">
      <w:pPr>
        <w:numPr>
          <w:ilvl w:val="0"/>
          <w:numId w:val="18"/>
        </w:numPr>
        <w:spacing w:line="240" w:lineRule="auto"/>
        <w:jc w:val="left"/>
        <w:rPr>
          <w:rFonts w:cs="Arial"/>
        </w:rPr>
      </w:pPr>
      <w:r>
        <w:rPr>
          <w:rFonts w:cs="Arial"/>
        </w:rPr>
        <w:t>A relação de trabalho do vínculo apontado.</w:t>
      </w:r>
    </w:p>
    <w:p w:rsidR="00A069FC" w:rsidRDefault="00A069FC" w:rsidP="00A069FC">
      <w:pPr>
        <w:numPr>
          <w:ilvl w:val="0"/>
          <w:numId w:val="18"/>
        </w:numPr>
        <w:spacing w:line="240" w:lineRule="auto"/>
        <w:jc w:val="left"/>
        <w:rPr>
          <w:rFonts w:cs="Arial"/>
        </w:rPr>
      </w:pPr>
      <w:r>
        <w:rPr>
          <w:rFonts w:cs="Arial"/>
        </w:rPr>
        <w:t>A carreira do vínculo apontado.</w:t>
      </w:r>
    </w:p>
    <w:p w:rsidR="00A069FC" w:rsidRDefault="00A069FC" w:rsidP="00A069FC">
      <w:pPr>
        <w:numPr>
          <w:ilvl w:val="0"/>
          <w:numId w:val="18"/>
        </w:numPr>
        <w:spacing w:line="240" w:lineRule="auto"/>
        <w:jc w:val="left"/>
        <w:rPr>
          <w:rFonts w:cs="Arial"/>
        </w:rPr>
      </w:pPr>
      <w:r>
        <w:rPr>
          <w:rFonts w:cs="Arial"/>
        </w:rPr>
        <w:t xml:space="preserve">A região sob a qual a unidade organizacional do vínculo está associada. </w:t>
      </w:r>
    </w:p>
    <w:p w:rsidR="00A069FC" w:rsidRDefault="00A069FC" w:rsidP="00A069FC">
      <w:pPr>
        <w:widowControl w:val="0"/>
        <w:ind w:left="540"/>
        <w:rPr>
          <w:rFonts w:cs="Arial"/>
        </w:rPr>
      </w:pPr>
    </w:p>
    <w:p w:rsidR="00A069FC" w:rsidRDefault="00A069FC" w:rsidP="00A069FC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  <w:jc w:val="left"/>
      </w:pPr>
      <w:bookmarkStart w:id="29" w:name="_Toc200170622"/>
      <w:bookmarkStart w:id="30" w:name="_Toc404613419"/>
      <w:r>
        <w:t>Abrangência na exclusão de bloqueio</w:t>
      </w:r>
      <w:bookmarkEnd w:id="29"/>
      <w:bookmarkEnd w:id="30"/>
    </w:p>
    <w:p w:rsidR="00A069FC" w:rsidRDefault="00A069FC" w:rsidP="00A069F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certifica que o ator pode excluir os dados do registro do servidor, verificando a abrangência de acesso a dados - </w:t>
      </w:r>
      <w:r>
        <w:rPr>
          <w:b/>
          <w:u w:val="single"/>
        </w:rPr>
        <w:t>quanto à exclusao</w:t>
      </w:r>
      <w:r>
        <w:t xml:space="preserve"> - que o mesmo possuir, levando em consideração:</w:t>
      </w:r>
    </w:p>
    <w:p w:rsidR="00A069FC" w:rsidRDefault="00A069FC" w:rsidP="00A069FC">
      <w:pPr>
        <w:numPr>
          <w:ilvl w:val="0"/>
          <w:numId w:val="18"/>
        </w:numPr>
        <w:spacing w:line="240" w:lineRule="auto"/>
        <w:jc w:val="left"/>
        <w:rPr>
          <w:rFonts w:cs="Arial"/>
        </w:rPr>
      </w:pPr>
      <w:r>
        <w:rPr>
          <w:rFonts w:cs="Arial"/>
        </w:rPr>
        <w:t>A situação previdenciária do vínculo apontado.</w:t>
      </w:r>
    </w:p>
    <w:p w:rsidR="00A069FC" w:rsidRDefault="00A069FC" w:rsidP="00A069FC">
      <w:pPr>
        <w:numPr>
          <w:ilvl w:val="0"/>
          <w:numId w:val="18"/>
        </w:numPr>
        <w:spacing w:line="240" w:lineRule="auto"/>
        <w:jc w:val="left"/>
        <w:rPr>
          <w:rFonts w:cs="Arial"/>
        </w:rPr>
      </w:pPr>
      <w:r>
        <w:rPr>
          <w:rFonts w:cs="Arial"/>
        </w:rPr>
        <w:t>A unidade organizacional do vínculo apontado.</w:t>
      </w:r>
    </w:p>
    <w:p w:rsidR="00A069FC" w:rsidRDefault="00A069FC" w:rsidP="00A069FC">
      <w:pPr>
        <w:numPr>
          <w:ilvl w:val="0"/>
          <w:numId w:val="18"/>
        </w:numPr>
        <w:spacing w:line="240" w:lineRule="auto"/>
        <w:jc w:val="left"/>
        <w:rPr>
          <w:rFonts w:cs="Arial"/>
        </w:rPr>
      </w:pPr>
      <w:r>
        <w:rPr>
          <w:rFonts w:cs="Arial"/>
        </w:rPr>
        <w:t>A relação de trabalho do vínculo apontado.</w:t>
      </w:r>
    </w:p>
    <w:p w:rsidR="00A069FC" w:rsidRDefault="00A069FC" w:rsidP="00A069FC">
      <w:pPr>
        <w:numPr>
          <w:ilvl w:val="0"/>
          <w:numId w:val="18"/>
        </w:numPr>
        <w:spacing w:line="240" w:lineRule="auto"/>
        <w:jc w:val="left"/>
        <w:rPr>
          <w:rFonts w:cs="Arial"/>
        </w:rPr>
      </w:pPr>
      <w:r>
        <w:rPr>
          <w:rFonts w:cs="Arial"/>
        </w:rPr>
        <w:t>A carreira do vínculo apontado.</w:t>
      </w:r>
    </w:p>
    <w:p w:rsidR="00A069FC" w:rsidRDefault="00A069FC" w:rsidP="00A069FC">
      <w:pPr>
        <w:numPr>
          <w:ilvl w:val="0"/>
          <w:numId w:val="18"/>
        </w:numPr>
        <w:spacing w:line="240" w:lineRule="auto"/>
        <w:jc w:val="left"/>
        <w:rPr>
          <w:rFonts w:cs="Arial"/>
        </w:rPr>
      </w:pPr>
      <w:r>
        <w:rPr>
          <w:rFonts w:cs="Arial"/>
        </w:rPr>
        <w:lastRenderedPageBreak/>
        <w:t xml:space="preserve">A região sob a qual a unidade organizacional do vínculo está associada. </w:t>
      </w:r>
    </w:p>
    <w:p w:rsidR="00A069FC" w:rsidRDefault="00A069FC" w:rsidP="00A069FC">
      <w:pPr>
        <w:widowControl w:val="0"/>
        <w:ind w:left="540"/>
        <w:rPr>
          <w:rFonts w:cs="Arial"/>
        </w:rPr>
      </w:pPr>
    </w:p>
    <w:p w:rsidR="00A069FC" w:rsidRDefault="00A069FC" w:rsidP="00A069FC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  <w:jc w:val="left"/>
      </w:pPr>
      <w:bookmarkStart w:id="31" w:name="_Toc200170623"/>
      <w:bookmarkStart w:id="32" w:name="_Toc404613420"/>
      <w:r>
        <w:t>Abrangência na impressão e listagem do bloqueio</w:t>
      </w:r>
      <w:bookmarkEnd w:id="31"/>
      <w:bookmarkEnd w:id="32"/>
    </w:p>
    <w:p w:rsidR="00A069FC" w:rsidRDefault="00A069FC" w:rsidP="00A069F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rPr>
          <w:rFonts w:ascii="Symbol" w:hAnsi="Symbol" w:cs="Symbol"/>
        </w:rPr>
        <w:t></w:t>
      </w:r>
      <w:r>
        <w:rPr>
          <w:rFonts w:ascii="Symbol" w:hAnsi="Symbol" w:cs="Symbol"/>
        </w:rPr>
        <w:tab/>
      </w:r>
      <w:r>
        <w:t>Sistema deve ligar a abrangência antes de recuperar os registros.</w:t>
      </w:r>
    </w:p>
    <w:p w:rsidR="00A069FC" w:rsidRDefault="00A069FC" w:rsidP="00A069FC"/>
    <w:p w:rsidR="00A069FC" w:rsidRDefault="00A069FC" w:rsidP="00A069FC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  <w:jc w:val="left"/>
      </w:pPr>
      <w:bookmarkStart w:id="33" w:name="_Toc200170624"/>
      <w:bookmarkStart w:id="34" w:name="_Toc404613421"/>
      <w:r>
        <w:t>Exceções</w:t>
      </w:r>
      <w:bookmarkEnd w:id="33"/>
      <w:bookmarkEnd w:id="34"/>
    </w:p>
    <w:p w:rsidR="00A069FC" w:rsidRDefault="00A069FC" w:rsidP="00A069FC">
      <w:pPr>
        <w:widowControl w:val="0"/>
        <w:ind w:left="540"/>
        <w:rPr>
          <w:rFonts w:cs="Arial"/>
        </w:rPr>
      </w:pPr>
      <w:r>
        <w:rPr>
          <w:rFonts w:cs="Arial"/>
        </w:rPr>
        <w:t>Tentativa de realizar operação - exceto listagem/impressão -, sem que o usuário tenha abrangência para realizá-la. O sistema exibe a mensagem MSG0183 ("Este registro não faz parte de sua abrangência de dados").</w:t>
      </w:r>
    </w:p>
    <w:sectPr w:rsidR="00A069FC" w:rsidSect="00C0696A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568" w:footer="45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069FC" w:rsidRDefault="00A069FC" w:rsidP="002908D9">
      <w:r>
        <w:separator/>
      </w:r>
    </w:p>
  </w:endnote>
  <w:endnote w:type="continuationSeparator" w:id="0">
    <w:p w:rsidR="00A069FC" w:rsidRDefault="00A069FC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C0696A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A069FC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Tiago Schraiber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C0696A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C0696A">
            <w:rPr>
              <w:sz w:val="20"/>
              <w:szCs w:val="20"/>
            </w:rPr>
            <w:t>Keila Joanês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C0696A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A069FC">
            <w:rPr>
              <w:b/>
              <w:sz w:val="20"/>
              <w:szCs w:val="20"/>
            </w:rPr>
            <w:t>Pagamento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A069FC">
            <w:rPr>
              <w:b/>
              <w:sz w:val="20"/>
              <w:szCs w:val="20"/>
            </w:rPr>
            <w:t xml:space="preserve"> Consignatárias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C0696A" w:rsidRPr="00C0696A">
            <w:rPr>
              <w:b/>
              <w:sz w:val="20"/>
              <w:szCs w:val="20"/>
            </w:rPr>
            <w:t>UCS0368 - Bloquear Consignações para Servidores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 wp14:anchorId="7C5AD4DC" wp14:editId="43A5033E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069FC" w:rsidRDefault="00A069FC" w:rsidP="002908D9">
      <w:r>
        <w:separator/>
      </w:r>
    </w:p>
  </w:footnote>
  <w:footnote w:type="continuationSeparator" w:id="0">
    <w:p w:rsidR="00A069FC" w:rsidRDefault="00A069FC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C0696A" w:rsidP="002908D9">
    <w:pPr>
      <w:pStyle w:val="Cabealho"/>
    </w:pPr>
    <w:r>
      <w:rPr>
        <w:noProof/>
      </w:rPr>
      <w:drawing>
        <wp:anchor distT="0" distB="0" distL="114300" distR="114300" simplePos="0" relativeHeight="251655680" behindDoc="0" locked="0" layoutInCell="1" allowOverlap="1" wp14:anchorId="0F88126E" wp14:editId="7237AC65">
          <wp:simplePos x="0" y="0"/>
          <wp:positionH relativeFrom="column">
            <wp:posOffset>4229100</wp:posOffset>
          </wp:positionH>
          <wp:positionV relativeFrom="paragraph">
            <wp:posOffset>-83185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C3B1F"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5CDDA5DC" wp14:editId="3E30DCD6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 w:rsidR="00AC3B1F"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7394D781" wp14:editId="301C60EE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 wp14:anchorId="4BBF680C" wp14:editId="0907692F">
          <wp:simplePos x="0" y="0"/>
          <wp:positionH relativeFrom="column">
            <wp:posOffset>4410075</wp:posOffset>
          </wp:positionH>
          <wp:positionV relativeFrom="paragraph">
            <wp:posOffset>-121285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3C48F780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409311D5"/>
    <w:multiLevelType w:val="hybridMultilevel"/>
    <w:tmpl w:val="9EAE0660"/>
    <w:lvl w:ilvl="0" w:tplc="0416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0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1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2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1"/>
  </w:num>
  <w:num w:numId="3">
    <w:abstractNumId w:val="3"/>
  </w:num>
  <w:num w:numId="4">
    <w:abstractNumId w:val="17"/>
  </w:num>
  <w:num w:numId="5">
    <w:abstractNumId w:val="13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5"/>
  </w:num>
  <w:num w:numId="12">
    <w:abstractNumId w:val="14"/>
  </w:num>
  <w:num w:numId="13">
    <w:abstractNumId w:val="2"/>
  </w:num>
  <w:num w:numId="14">
    <w:abstractNumId w:val="10"/>
  </w:num>
  <w:num w:numId="15">
    <w:abstractNumId w:val="5"/>
  </w:num>
  <w:num w:numId="16">
    <w:abstractNumId w:val="12"/>
  </w:num>
  <w:num w:numId="17">
    <w:abstractNumId w:val="4"/>
  </w:num>
  <w:num w:numId="18">
    <w:abstractNumId w:val="9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69FC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13AB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069FC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96A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069FC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A069FC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C0696A"/>
    <w:pPr>
      <w:numPr>
        <w:ilvl w:val="1"/>
        <w:numId w:val="17"/>
      </w:numPr>
      <w:tabs>
        <w:tab w:val="clear" w:pos="792"/>
        <w:tab w:val="num" w:pos="993"/>
      </w:tabs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A069FC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A069FC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A069FC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A069FC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A069FC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A069FC"/>
    <w:pPr>
      <w:ind w:left="0"/>
    </w:pPr>
  </w:style>
  <w:style w:type="paragraph" w:styleId="ndicedeilustraes">
    <w:name w:val="table of figures"/>
    <w:basedOn w:val="Normal"/>
    <w:next w:val="Normal"/>
    <w:semiHidden/>
    <w:rsid w:val="00A069FC"/>
  </w:style>
  <w:style w:type="paragraph" w:styleId="Sumrio2">
    <w:name w:val="toc 2"/>
    <w:basedOn w:val="Normal"/>
    <w:next w:val="Normal"/>
    <w:autoRedefine/>
    <w:uiPriority w:val="39"/>
    <w:rsid w:val="00A069FC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A069FC"/>
    <w:pPr>
      <w:ind w:left="480"/>
    </w:pPr>
  </w:style>
  <w:style w:type="character" w:styleId="Hyperlink">
    <w:name w:val="Hyperlink"/>
    <w:basedOn w:val="Fontepargpadro"/>
    <w:uiPriority w:val="99"/>
    <w:rsid w:val="00A069FC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A069FC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A069FC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A069FC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A069FC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A069FC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A069FC"/>
    <w:rPr>
      <w:sz w:val="16"/>
    </w:rPr>
  </w:style>
  <w:style w:type="character" w:styleId="Nmerodepgina">
    <w:name w:val="page number"/>
    <w:basedOn w:val="Fontepargpadro"/>
    <w:rsid w:val="00A069FC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A069FC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A069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069FC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A069FC"/>
  </w:style>
  <w:style w:type="paragraph" w:styleId="Corpodetexto">
    <w:name w:val="Body Text"/>
    <w:basedOn w:val="Normal"/>
    <w:link w:val="CorpodetextoChar"/>
    <w:rsid w:val="00A069FC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A069FC"/>
    <w:rPr>
      <w:rFonts w:eastAsia="Arial Unicode MS"/>
    </w:rPr>
  </w:style>
  <w:style w:type="paragraph" w:customStyle="1" w:styleId="tabletext">
    <w:name w:val="tabletext"/>
    <w:basedOn w:val="Normal"/>
    <w:rsid w:val="00A069FC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A069FC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A069FC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A069FC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A069FC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A069FC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A069FC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A069FC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A069FC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A069FC"/>
    <w:pPr>
      <w:widowControl w:val="0"/>
    </w:pPr>
    <w:rPr>
      <w:rFonts w:ascii="Arial" w:hAnsi="Arial"/>
      <w:color w:val="000000"/>
      <w:sz w:val="24"/>
      <w:lang w:val="en-US"/>
    </w:rPr>
  </w:style>
  <w:style w:type="table" w:styleId="Tabelacomgrade">
    <w:name w:val="Table Grid"/>
    <w:basedOn w:val="Tabelanormal"/>
    <w:rsid w:val="00A069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069FC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A069FC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C0696A"/>
    <w:pPr>
      <w:numPr>
        <w:ilvl w:val="1"/>
        <w:numId w:val="17"/>
      </w:numPr>
      <w:tabs>
        <w:tab w:val="clear" w:pos="792"/>
        <w:tab w:val="num" w:pos="993"/>
      </w:tabs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A069FC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A069FC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A069FC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A069FC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A069FC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A069FC"/>
    <w:pPr>
      <w:ind w:left="0"/>
    </w:pPr>
  </w:style>
  <w:style w:type="paragraph" w:styleId="ndicedeilustraes">
    <w:name w:val="table of figures"/>
    <w:basedOn w:val="Normal"/>
    <w:next w:val="Normal"/>
    <w:semiHidden/>
    <w:rsid w:val="00A069FC"/>
  </w:style>
  <w:style w:type="paragraph" w:styleId="Sumrio2">
    <w:name w:val="toc 2"/>
    <w:basedOn w:val="Normal"/>
    <w:next w:val="Normal"/>
    <w:autoRedefine/>
    <w:uiPriority w:val="39"/>
    <w:rsid w:val="00A069FC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A069FC"/>
    <w:pPr>
      <w:ind w:left="480"/>
    </w:pPr>
  </w:style>
  <w:style w:type="character" w:styleId="Hyperlink">
    <w:name w:val="Hyperlink"/>
    <w:basedOn w:val="Fontepargpadro"/>
    <w:uiPriority w:val="99"/>
    <w:rsid w:val="00A069FC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A069FC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A069FC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A069FC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A069FC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A069FC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A069FC"/>
    <w:rPr>
      <w:sz w:val="16"/>
    </w:rPr>
  </w:style>
  <w:style w:type="character" w:styleId="Nmerodepgina">
    <w:name w:val="page number"/>
    <w:basedOn w:val="Fontepargpadro"/>
    <w:rsid w:val="00A069FC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A069FC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A069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069FC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A069FC"/>
  </w:style>
  <w:style w:type="paragraph" w:styleId="Corpodetexto">
    <w:name w:val="Body Text"/>
    <w:basedOn w:val="Normal"/>
    <w:link w:val="CorpodetextoChar"/>
    <w:rsid w:val="00A069FC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A069FC"/>
    <w:rPr>
      <w:rFonts w:eastAsia="Arial Unicode MS"/>
    </w:rPr>
  </w:style>
  <w:style w:type="paragraph" w:customStyle="1" w:styleId="tabletext">
    <w:name w:val="tabletext"/>
    <w:basedOn w:val="Normal"/>
    <w:rsid w:val="00A069FC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A069FC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A069FC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A069FC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A069FC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A069FC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A069FC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A069FC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A069FC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A069FC"/>
    <w:pPr>
      <w:widowControl w:val="0"/>
    </w:pPr>
    <w:rPr>
      <w:rFonts w:ascii="Arial" w:hAnsi="Arial"/>
      <w:color w:val="000000"/>
      <w:sz w:val="24"/>
      <w:lang w:val="en-US"/>
    </w:rPr>
  </w:style>
  <w:style w:type="table" w:styleId="Tabelacomgrade">
    <w:name w:val="Table Grid"/>
    <w:basedOn w:val="Tabelanormal"/>
    <w:rsid w:val="00A069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97A3C3-84C0-4773-BCEA-991DB0EA97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19</TotalTime>
  <Pages>10</Pages>
  <Words>1294</Words>
  <Characters>8634</Characters>
  <Application>Microsoft Office Word</Application>
  <DocSecurity>0</DocSecurity>
  <Lines>71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9909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Nelson Brandão Luiz</cp:lastModifiedBy>
  <cp:revision>3</cp:revision>
  <cp:lastPrinted>2014-11-09T03:59:00Z</cp:lastPrinted>
  <dcterms:created xsi:type="dcterms:W3CDTF">2014-11-09T03:58:00Z</dcterms:created>
  <dcterms:modified xsi:type="dcterms:W3CDTF">2014-11-24T19:27:00Z</dcterms:modified>
</cp:coreProperties>
</file>