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829" w:rsidRDefault="00FC0829" w:rsidP="00FC08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0829" w:rsidRDefault="00FC0829" w:rsidP="00FC0829">
      <w:pPr>
        <w:widowControl w:val="0"/>
        <w:rPr>
          <w:rFonts w:cs="Arial"/>
          <w:sz w:val="20"/>
        </w:rPr>
      </w:pPr>
    </w:p>
    <w:p w:rsidR="00FC0829" w:rsidRDefault="00FC0829" w:rsidP="00FC0829">
      <w:pPr>
        <w:widowControl w:val="0"/>
        <w:rPr>
          <w:rFonts w:cs="Arial"/>
          <w:sz w:val="20"/>
        </w:rPr>
      </w:pPr>
    </w:p>
    <w:p w:rsidR="00FC0829" w:rsidRDefault="00FC0829" w:rsidP="00FC0829">
      <w:pPr>
        <w:widowControl w:val="0"/>
        <w:rPr>
          <w:rFonts w:cs="Arial"/>
          <w:sz w:val="20"/>
        </w:rPr>
      </w:pPr>
    </w:p>
    <w:p w:rsidR="00FC0829" w:rsidRDefault="00FC0829" w:rsidP="00FC0829">
      <w:pPr>
        <w:widowControl w:val="0"/>
        <w:rPr>
          <w:rFonts w:cs="Arial"/>
          <w:sz w:val="20"/>
        </w:rPr>
      </w:pPr>
    </w:p>
    <w:p w:rsidR="00FC0829" w:rsidRDefault="00FC0829" w:rsidP="00FC08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0829" w:rsidRDefault="00FC0829" w:rsidP="00FC0829">
      <w:pPr>
        <w:widowControl w:val="0"/>
        <w:rPr>
          <w:rFonts w:cs="Arial"/>
          <w:sz w:val="20"/>
          <w:u w:val="single"/>
        </w:rPr>
      </w:pPr>
    </w:p>
    <w:p w:rsidR="00FC0829" w:rsidRDefault="00FC0829" w:rsidP="00FC08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0829" w:rsidRDefault="00FC0829" w:rsidP="00FC0829">
      <w:pPr>
        <w:widowControl w:val="0"/>
        <w:rPr>
          <w:rFonts w:cs="Arial"/>
          <w:sz w:val="20"/>
        </w:rPr>
      </w:pPr>
    </w:p>
    <w:p w:rsidR="00FC0829" w:rsidRDefault="00FC0829" w:rsidP="00FC0829">
      <w:pPr>
        <w:widowControl w:val="0"/>
        <w:rPr>
          <w:rFonts w:cs="Arial"/>
          <w:sz w:val="20"/>
        </w:rPr>
      </w:pPr>
    </w:p>
    <w:p w:rsidR="00FC0829" w:rsidRDefault="00FC0829" w:rsidP="00FC0829">
      <w:pPr>
        <w:widowControl w:val="0"/>
        <w:rPr>
          <w:rFonts w:cs="Arial"/>
          <w:sz w:val="20"/>
        </w:rPr>
      </w:pPr>
    </w:p>
    <w:p w:rsidR="00FC0829" w:rsidRDefault="00FC0829" w:rsidP="00FC082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0829" w:rsidRDefault="00FC0829" w:rsidP="00FC0829">
      <w:pPr>
        <w:widowControl w:val="0"/>
        <w:rPr>
          <w:rFonts w:cs="Arial"/>
          <w:sz w:val="20"/>
        </w:rPr>
      </w:pPr>
    </w:p>
    <w:p w:rsidR="00FC0829" w:rsidRDefault="00FC0829" w:rsidP="00FC0829">
      <w:pPr>
        <w:widowControl w:val="0"/>
        <w:rPr>
          <w:rFonts w:cs="Arial"/>
          <w:sz w:val="20"/>
        </w:rPr>
      </w:pPr>
    </w:p>
    <w:p w:rsidR="00FC0829" w:rsidRDefault="00FC0829" w:rsidP="00FC0829">
      <w:pPr>
        <w:widowControl w:val="0"/>
        <w:rPr>
          <w:rFonts w:cs="Arial"/>
        </w:rPr>
      </w:pPr>
    </w:p>
    <w:p w:rsidR="00FC0829" w:rsidRDefault="00FC0829" w:rsidP="00FC0829">
      <w:pPr>
        <w:pStyle w:val="Capa"/>
        <w:rPr>
          <w:color w:val="FF9900"/>
        </w:rPr>
      </w:pPr>
      <w:r>
        <w:t>SINDRAPE</w:t>
      </w:r>
    </w:p>
    <w:p w:rsidR="00FC0829" w:rsidRDefault="00FC0829" w:rsidP="00FC082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C0829" w:rsidRPr="00FC0829" w:rsidRDefault="00FC0829" w:rsidP="00FC0829">
      <w:pPr>
        <w:widowControl w:val="0"/>
        <w:rPr>
          <w:color w:val="000080"/>
        </w:rPr>
      </w:pPr>
    </w:p>
    <w:p w:rsidR="00FC0829" w:rsidRPr="00FC0829" w:rsidRDefault="00FC0829" w:rsidP="00FC0829">
      <w:pPr>
        <w:widowControl w:val="0"/>
        <w:jc w:val="right"/>
        <w:rPr>
          <w:rFonts w:cs="Arial"/>
          <w:b/>
          <w:bCs/>
          <w:color w:val="000080"/>
        </w:rPr>
      </w:pPr>
    </w:p>
    <w:p w:rsidR="00FC0829" w:rsidRDefault="00FC0829" w:rsidP="00FC0829">
      <w:pPr>
        <w:pStyle w:val="Capa"/>
      </w:pPr>
      <w:r>
        <w:t>UCS0376 - Suspender Consignatárias, Tipos de Serviço e Consignações</w:t>
      </w:r>
    </w:p>
    <w:p w:rsidR="00FC0829" w:rsidRDefault="00FC0829" w:rsidP="00FC0829">
      <w:pPr>
        <w:widowControl w:val="0"/>
        <w:rPr>
          <w:rFonts w:cs="Arial"/>
        </w:rPr>
      </w:pPr>
    </w:p>
    <w:p w:rsidR="00FC0829" w:rsidRDefault="00FC0829" w:rsidP="00FC0829">
      <w:pPr>
        <w:widowControl w:val="0"/>
      </w:pPr>
    </w:p>
    <w:p w:rsidR="00FC0829" w:rsidRDefault="00FC0829" w:rsidP="00FC082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FC0829" w:rsidRPr="00FC0829" w:rsidRDefault="00FC0829" w:rsidP="00FC0829">
      <w:pPr>
        <w:pStyle w:val="Corpodetexto3"/>
        <w:widowControl w:val="0"/>
        <w:spacing w:after="0"/>
        <w:rPr>
          <w:rFonts w:cs="Arial"/>
        </w:rPr>
      </w:pPr>
      <w:r w:rsidRPr="00FC0829">
        <w:rPr>
          <w:rFonts w:cs="Arial"/>
        </w:rPr>
        <w:lastRenderedPageBreak/>
        <w:t>Histórico de Revisões</w:t>
      </w:r>
    </w:p>
    <w:p w:rsidR="00FC0829" w:rsidRDefault="00FC0829" w:rsidP="00FC082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C0829" w:rsidTr="00FC082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829" w:rsidRDefault="00FC0829" w:rsidP="00FC08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829" w:rsidRDefault="00FC0829" w:rsidP="00FC08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829" w:rsidRDefault="00FC0829" w:rsidP="00FC08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829" w:rsidRDefault="00FC0829" w:rsidP="00FC082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C0829" w:rsidTr="00FC082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829" w:rsidRDefault="00FC0829" w:rsidP="00FC08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829" w:rsidRDefault="00FC0829" w:rsidP="00FC08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829" w:rsidRDefault="00FC0829" w:rsidP="00FC08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829" w:rsidRDefault="00FC0829" w:rsidP="00FC082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</w:tbl>
    <w:p w:rsidR="00FC0829" w:rsidRDefault="00FC0829" w:rsidP="00FC082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C0829" w:rsidRPr="00FC0829" w:rsidRDefault="00FC0829" w:rsidP="00FC0829">
      <w:pPr>
        <w:pStyle w:val="Corpodetexto3"/>
        <w:widowControl w:val="0"/>
        <w:spacing w:after="0"/>
        <w:jc w:val="left"/>
        <w:rPr>
          <w:rFonts w:cs="Arial"/>
        </w:rPr>
      </w:pPr>
      <w:r w:rsidRPr="00FC0829">
        <w:rPr>
          <w:rFonts w:cs="Arial"/>
        </w:rPr>
        <w:lastRenderedPageBreak/>
        <w:t>Índice</w:t>
      </w:r>
    </w:p>
    <w:p w:rsidR="00FC0829" w:rsidRPr="00FC0829" w:rsidRDefault="00FC0829" w:rsidP="00FC0829">
      <w:pPr>
        <w:pStyle w:val="Corpodetexto3"/>
        <w:widowControl w:val="0"/>
        <w:spacing w:after="0"/>
        <w:jc w:val="left"/>
        <w:rPr>
          <w:rFonts w:cs="Arial"/>
        </w:rPr>
      </w:pPr>
      <w:bookmarkStart w:id="0" w:name="_GoBack"/>
      <w:bookmarkEnd w:id="0"/>
    </w:p>
    <w:p w:rsidR="00F910CB" w:rsidRDefault="00FC082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1035" w:history="1">
        <w:r w:rsidR="00F910CB" w:rsidRPr="00EC08D3">
          <w:rPr>
            <w:rStyle w:val="Hyperlink"/>
            <w:noProof/>
          </w:rPr>
          <w:t>1.</w:t>
        </w:r>
        <w:r w:rsidR="00F910C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910CB" w:rsidRPr="00EC08D3">
          <w:rPr>
            <w:rStyle w:val="Hyperlink"/>
            <w:noProof/>
          </w:rPr>
          <w:t>Pacote/Caso de Uso</w:t>
        </w:r>
        <w:r w:rsidR="00F910CB">
          <w:rPr>
            <w:noProof/>
            <w:webHidden/>
          </w:rPr>
          <w:tab/>
        </w:r>
        <w:r w:rsidR="00F910CB">
          <w:rPr>
            <w:noProof/>
            <w:webHidden/>
          </w:rPr>
          <w:fldChar w:fldCharType="begin"/>
        </w:r>
        <w:r w:rsidR="00F910CB">
          <w:rPr>
            <w:noProof/>
            <w:webHidden/>
          </w:rPr>
          <w:instrText xml:space="preserve"> PAGEREF _Toc404611035 \h </w:instrText>
        </w:r>
        <w:r w:rsidR="00F910CB">
          <w:rPr>
            <w:noProof/>
            <w:webHidden/>
          </w:rPr>
        </w:r>
        <w:r w:rsidR="00F910CB">
          <w:rPr>
            <w:noProof/>
            <w:webHidden/>
          </w:rPr>
          <w:fldChar w:fldCharType="separate"/>
        </w:r>
        <w:r w:rsidR="00F910CB">
          <w:rPr>
            <w:noProof/>
            <w:webHidden/>
          </w:rPr>
          <w:t>4</w:t>
        </w:r>
        <w:r w:rsidR="00F910CB"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36" w:history="1">
        <w:r w:rsidRPr="00EC08D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37" w:history="1">
        <w:r w:rsidRPr="00EC08D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38" w:history="1">
        <w:r w:rsidRPr="00EC08D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39" w:history="1">
        <w:r w:rsidRPr="00EC08D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0" w:history="1">
        <w:r w:rsidRPr="00EC08D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1" w:history="1">
        <w:r w:rsidRPr="00EC08D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2" w:history="1">
        <w:r w:rsidRPr="00EC08D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3" w:history="1">
        <w:r w:rsidRPr="00EC08D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Incluir Suspensão da Consignatária/Tipo de Serviço/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4" w:history="1">
        <w:r w:rsidRPr="00EC08D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5" w:history="1">
        <w:r w:rsidRPr="00EC08D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Alterar Suspensão da Consignatária / Tipo de Serviço /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6" w:history="1">
        <w:r w:rsidRPr="00EC08D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7" w:history="1">
        <w:r w:rsidRPr="00EC08D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Excluir Suspensão da Consignatária / Tipo de Serviço /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8" w:history="1">
        <w:r w:rsidRPr="00EC08D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49" w:history="1">
        <w:r w:rsidRPr="00EC08D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Listar Suspensões das Consignatárias / Tipos de Serviço / Consignações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910CB" w:rsidRDefault="00F910C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050" w:history="1">
        <w:r w:rsidRPr="00EC08D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C08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0829" w:rsidRDefault="00FC0829" w:rsidP="00FC0829">
      <w:pPr>
        <w:pStyle w:val="Sumrio1"/>
      </w:pPr>
      <w:r>
        <w:fldChar w:fldCharType="end"/>
      </w:r>
    </w:p>
    <w:p w:rsidR="00FC0829" w:rsidRDefault="00FC0829" w:rsidP="00FC0829">
      <w:pPr>
        <w:widowControl w:val="0"/>
        <w:rPr>
          <w:rFonts w:cs="Arial"/>
          <w:b/>
          <w:bCs/>
          <w:color w:val="000000"/>
        </w:rPr>
      </w:pPr>
    </w:p>
    <w:p w:rsidR="00FC0829" w:rsidRDefault="00FC0829" w:rsidP="00FC0829">
      <w:pPr>
        <w:pStyle w:val="Heading"/>
        <w:rPr>
          <w:rFonts w:cs="Arial"/>
          <w:szCs w:val="24"/>
          <w:lang w:val="pt-BR"/>
        </w:rPr>
      </w:pPr>
    </w:p>
    <w:p w:rsidR="00FC0829" w:rsidRDefault="00FC0829" w:rsidP="00FC0829">
      <w:pPr>
        <w:pStyle w:val="Heading"/>
      </w:pPr>
    </w:p>
    <w:p w:rsidR="00FC0829" w:rsidRDefault="00FC0829" w:rsidP="00FC0829">
      <w:pPr>
        <w:pStyle w:val="Heading"/>
        <w:jc w:val="center"/>
      </w:pPr>
    </w:p>
    <w:p w:rsidR="00FC0829" w:rsidRDefault="00FC0829" w:rsidP="00FC082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C0829" w:rsidRDefault="00FC0829" w:rsidP="00FC0829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1035"/>
      <w:r>
        <w:lastRenderedPageBreak/>
        <w:t>Pacote/Caso de Uso</w:t>
      </w:r>
      <w:bookmarkEnd w:id="1"/>
    </w:p>
    <w:p w:rsidR="00FC0829" w:rsidRDefault="00FC0829" w:rsidP="00FC0829"/>
    <w:p w:rsidR="00FC0829" w:rsidRDefault="00FC0829" w:rsidP="00FC0829">
      <w:pPr>
        <w:widowControl w:val="0"/>
        <w:ind w:left="902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Suspender Consignatárias,</w:t>
      </w:r>
      <w:r w:rsidRPr="00F85AB9">
        <w:rPr>
          <w:rFonts w:cs="Arial"/>
          <w:b/>
          <w:bCs/>
          <w:color w:val="000080"/>
          <w:sz w:val="28"/>
        </w:rPr>
        <w:t xml:space="preserve"> Tipos de Serviço</w:t>
      </w:r>
      <w:r>
        <w:rPr>
          <w:rFonts w:cs="Arial"/>
          <w:b/>
          <w:bCs/>
          <w:color w:val="000080"/>
          <w:sz w:val="28"/>
        </w:rPr>
        <w:t xml:space="preserve"> e Consignações</w:t>
      </w:r>
    </w:p>
    <w:p w:rsidR="00FC0829" w:rsidRPr="00F85AB9" w:rsidRDefault="00FC0829" w:rsidP="00FC0829">
      <w:pPr>
        <w:widowControl w:val="0"/>
        <w:ind w:left="902"/>
        <w:rPr>
          <w:rFonts w:cs="Arial"/>
          <w:b/>
          <w:bCs/>
          <w:color w:val="000080"/>
          <w:sz w:val="28"/>
        </w:rPr>
      </w:pPr>
    </w:p>
    <w:p w:rsidR="00FC0829" w:rsidRDefault="00FC0829" w:rsidP="00F910CB">
      <w:pPr>
        <w:pStyle w:val="Ttulo2"/>
      </w:pPr>
      <w:bookmarkStart w:id="2" w:name="_Toc404611036"/>
      <w:r>
        <w:t>Descrição</w:t>
      </w:r>
      <w:bookmarkEnd w:id="2"/>
    </w:p>
    <w:p w:rsidR="00FC0829" w:rsidRDefault="00FC0829" w:rsidP="00FC0829">
      <w:pPr>
        <w:pStyle w:val="Recuodecorpodetexto2"/>
        <w:widowControl w:val="0"/>
        <w:ind w:left="1620" w:firstLine="0"/>
        <w:rPr>
          <w:sz w:val="24"/>
        </w:rPr>
      </w:pPr>
    </w:p>
    <w:p w:rsidR="00FC0829" w:rsidRPr="00CF4E66" w:rsidRDefault="00FC0829" w:rsidP="00FC0829">
      <w:pPr>
        <w:spacing w:after="120"/>
        <w:ind w:left="539" w:firstLine="1"/>
      </w:pPr>
      <w:r w:rsidRPr="00CF4E66">
        <w:t>Suspender todos ou alguns tipos de serviço oferecidos por uma consignatária bem como apenas algumas consignações.</w:t>
      </w:r>
    </w:p>
    <w:p w:rsidR="00FC0829" w:rsidRDefault="00FC0829" w:rsidP="00FC0829">
      <w:pPr>
        <w:pStyle w:val="Recuodecorpodetexto2"/>
        <w:widowControl w:val="0"/>
        <w:ind w:left="1620" w:firstLine="0"/>
        <w:rPr>
          <w:sz w:val="24"/>
        </w:rPr>
      </w:pPr>
    </w:p>
    <w:p w:rsidR="00FC0829" w:rsidRDefault="00FC0829" w:rsidP="00F910CB">
      <w:pPr>
        <w:pStyle w:val="Ttulo2"/>
      </w:pPr>
      <w:bookmarkStart w:id="3" w:name="_Toc404611037"/>
      <w:r>
        <w:t>Requisitos atendidos</w:t>
      </w:r>
      <w:bookmarkEnd w:id="3"/>
    </w:p>
    <w:p w:rsidR="00FC0829" w:rsidRDefault="00FC0829" w:rsidP="00FC0829"/>
    <w:p w:rsidR="00FC0829" w:rsidRDefault="00FC0829" w:rsidP="00FC0829">
      <w:pPr>
        <w:pStyle w:val="Recuodecorpodetexto"/>
        <w:ind w:left="1260"/>
      </w:pPr>
      <w:r>
        <w:t>R2 – Cadastro de consignações</w:t>
      </w:r>
    </w:p>
    <w:p w:rsidR="00FC0829" w:rsidRDefault="00FC0829" w:rsidP="00FC0829"/>
    <w:p w:rsidR="00FC0829" w:rsidRDefault="00FC0829" w:rsidP="00FC0829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1038"/>
      <w:r>
        <w:t>Conceito</w:t>
      </w:r>
      <w:bookmarkEnd w:id="4"/>
      <w:r>
        <w:tab/>
      </w:r>
    </w:p>
    <w:p w:rsidR="00FC0829" w:rsidRDefault="00FC0829" w:rsidP="00FC0829"/>
    <w:p w:rsidR="00FC0829" w:rsidRDefault="00FC0829" w:rsidP="00F910CB">
      <w:pPr>
        <w:pStyle w:val="Ttulo2"/>
      </w:pPr>
      <w:bookmarkStart w:id="5" w:name="_Toc404611039"/>
      <w:r>
        <w:t>Conceitos principais</w:t>
      </w:r>
      <w:bookmarkEnd w:id="5"/>
    </w:p>
    <w:p w:rsidR="00FC0829" w:rsidRDefault="00FC0829" w:rsidP="00FC0829">
      <w:pPr>
        <w:rPr>
          <w:rFonts w:cs="Arial"/>
        </w:rPr>
      </w:pP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4391"/>
        <w:gridCol w:w="4329"/>
      </w:tblGrid>
      <w:tr w:rsidR="00FC0829" w:rsidTr="00FF700E">
        <w:tc>
          <w:tcPr>
            <w:tcW w:w="4605" w:type="dxa"/>
          </w:tcPr>
          <w:p w:rsidR="00FC0829" w:rsidRPr="00CF4E66" w:rsidRDefault="00FC0829" w:rsidP="00FF700E">
            <w:pPr>
              <w:rPr>
                <w:rFonts w:cs="Arial"/>
                <w:b/>
              </w:rPr>
            </w:pPr>
            <w:r w:rsidRPr="00CF4E66">
              <w:rPr>
                <w:rFonts w:cs="Arial"/>
                <w:b/>
              </w:rPr>
              <w:t>Consignatárias: histórico de suspensões</w:t>
            </w:r>
          </w:p>
        </w:tc>
        <w:tc>
          <w:tcPr>
            <w:tcW w:w="4606" w:type="dxa"/>
          </w:tcPr>
          <w:p w:rsidR="00FC0829" w:rsidRDefault="00FC0829" w:rsidP="00FF700E">
            <w:pPr>
              <w:pStyle w:val="Recuodecorpodetexto2"/>
              <w:widowControl w:val="0"/>
              <w:ind w:left="540" w:firstLine="0"/>
              <w:jc w:val="left"/>
              <w:rPr>
                <w:sz w:val="24"/>
              </w:rPr>
            </w:pPr>
            <w:r>
              <w:rPr>
                <w:sz w:val="24"/>
              </w:rPr>
              <w:t>Relação das suspensões de consignatárias.</w:t>
            </w:r>
          </w:p>
          <w:p w:rsidR="00FC0829" w:rsidRDefault="00FC0829" w:rsidP="00FF700E">
            <w:pPr>
              <w:rPr>
                <w:rFonts w:cs="Arial"/>
              </w:rPr>
            </w:pPr>
          </w:p>
        </w:tc>
      </w:tr>
    </w:tbl>
    <w:p w:rsidR="00FC0829" w:rsidRDefault="00FC0829" w:rsidP="00FC0829">
      <w:pPr>
        <w:rPr>
          <w:rFonts w:cs="Arial"/>
        </w:rPr>
      </w:pPr>
    </w:p>
    <w:p w:rsidR="00FC0829" w:rsidRDefault="00FC0829" w:rsidP="00FC0829">
      <w:pPr>
        <w:rPr>
          <w:rFonts w:cs="Arial"/>
        </w:rPr>
      </w:pPr>
    </w:p>
    <w:p w:rsidR="00FC0829" w:rsidRDefault="00FC0829" w:rsidP="00F910CB">
      <w:pPr>
        <w:pStyle w:val="Ttulo2"/>
      </w:pPr>
      <w:bookmarkStart w:id="6" w:name="_Toc404611040"/>
      <w:r>
        <w:t>Conceitos associados</w:t>
      </w:r>
      <w:bookmarkEnd w:id="6"/>
    </w:p>
    <w:p w:rsidR="00FC0829" w:rsidRDefault="00FC0829" w:rsidP="00FC0829">
      <w:pPr>
        <w:rPr>
          <w:rFonts w:eastAsia="Arial Unicode MS"/>
        </w:rPr>
      </w:pPr>
    </w:p>
    <w:p w:rsidR="00FC0829" w:rsidRPr="00CF4E66" w:rsidRDefault="00FC0829" w:rsidP="00FC0829">
      <w:pPr>
        <w:rPr>
          <w:rFonts w:eastAsia="Arial Unicode MS"/>
        </w:rPr>
      </w:pPr>
      <w:r w:rsidRPr="00CF4E66">
        <w:rPr>
          <w:rFonts w:eastAsia="Arial Unicode MS"/>
        </w:rPr>
        <w:t>Não se aplica.</w:t>
      </w:r>
    </w:p>
    <w:p w:rsidR="00FC0829" w:rsidRDefault="00FC0829" w:rsidP="00FC082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1041"/>
      <w:r>
        <w:lastRenderedPageBreak/>
        <w:t>Diagrama</w:t>
      </w:r>
      <w:bookmarkEnd w:id="7"/>
    </w:p>
    <w:p w:rsidR="00F910CB" w:rsidRPr="00F910CB" w:rsidRDefault="00F910CB" w:rsidP="00F910CB">
      <w:pPr>
        <w:ind w:left="0"/>
      </w:pPr>
    </w:p>
    <w:p w:rsidR="00FC0829" w:rsidRDefault="00F910CB" w:rsidP="00F910CB">
      <w:pPr>
        <w:widowControl w:val="0"/>
        <w:ind w:left="0"/>
        <w:jc w:val="center"/>
        <w:rPr>
          <w:rFonts w:cs="Arial"/>
        </w:rPr>
      </w:pPr>
      <w:r>
        <w:rPr>
          <w:b/>
          <w:bCs/>
          <w:noProof/>
        </w:rPr>
        <w:drawing>
          <wp:inline distT="0" distB="0" distL="0" distR="0" wp14:anchorId="0A280E1E" wp14:editId="3DB25E41">
            <wp:extent cx="5400675" cy="55911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829" w:rsidRPr="00457EE3" w:rsidRDefault="00FC0829" w:rsidP="00FC0829">
      <w:pPr>
        <w:widowControl w:val="0"/>
        <w:ind w:left="20"/>
        <w:jc w:val="center"/>
        <w:rPr>
          <w:rFonts w:cs="Arial"/>
        </w:rPr>
      </w:pPr>
    </w:p>
    <w:p w:rsidR="00FC0829" w:rsidRDefault="00FC0829" w:rsidP="00FC082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1042"/>
      <w:r>
        <w:lastRenderedPageBreak/>
        <w:t>Casos de Uso</w:t>
      </w:r>
      <w:bookmarkEnd w:id="8"/>
    </w:p>
    <w:p w:rsidR="00FC0829" w:rsidRPr="00F910CB" w:rsidRDefault="00FC0829" w:rsidP="00F910CB">
      <w:pPr>
        <w:pStyle w:val="Ttulo2"/>
      </w:pPr>
      <w:bookmarkStart w:id="9" w:name="_Toc404611043"/>
      <w:r w:rsidRPr="00F910CB">
        <w:t>Incluir Suspensão da Consignatária/Tipo de Serviço/ Consignação</w:t>
      </w:r>
      <w:bookmarkEnd w:id="9"/>
      <w:r w:rsidRPr="00F910CB">
        <w:t> </w:t>
      </w:r>
    </w:p>
    <w:p w:rsidR="00FC0829" w:rsidRDefault="00FC0829" w:rsidP="00FC08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11044"/>
      <w:r>
        <w:t>Fluxo Básico</w:t>
      </w:r>
      <w:bookmarkEnd w:id="10"/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incluir suspensão da consignatária e/ou tipo de serviço e/ou consignação.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formulário para preenchimento.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inclusão.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 w:rsidRPr="006C574E">
        <w:rPr>
          <w:b/>
        </w:rPr>
        <w:t>RGN</w:t>
      </w:r>
      <w:r w:rsidRPr="006A6693">
        <w:rPr>
          <w:b/>
        </w:rPr>
        <w:t>2.1.151.1</w:t>
      </w:r>
      <w:r>
        <w:rPr>
          <w:b/>
        </w:rPr>
        <w:t xml:space="preserve">, </w:t>
      </w:r>
      <w:r w:rsidRPr="006C574E">
        <w:rPr>
          <w:b/>
        </w:rPr>
        <w:t>RGN</w:t>
      </w:r>
      <w:r w:rsidRPr="006A6693">
        <w:rPr>
          <w:b/>
        </w:rPr>
        <w:t>2.1.1</w:t>
      </w:r>
      <w:r>
        <w:rPr>
          <w:b/>
        </w:rPr>
        <w:t>2</w:t>
      </w:r>
      <w:r w:rsidRPr="006A6693">
        <w:rPr>
          <w:b/>
        </w:rPr>
        <w:t>1.1</w:t>
      </w:r>
      <w:r>
        <w:t>).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suspensão informada.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FC0829" w:rsidRDefault="00FC0829" w:rsidP="00FC0829">
      <w:pPr>
        <w:pStyle w:val="Recuodecorpodetexto"/>
        <w:ind w:left="0"/>
      </w:pPr>
    </w:p>
    <w:p w:rsidR="00FC0829" w:rsidRDefault="00FC0829" w:rsidP="00FC0829">
      <w:pPr>
        <w:pStyle w:val="Recuodecorpodetexto"/>
        <w:ind w:left="0"/>
      </w:pPr>
    </w:p>
    <w:p w:rsidR="00FC0829" w:rsidRPr="00C97CFD" w:rsidRDefault="00FC0829" w:rsidP="00F910CB">
      <w:pPr>
        <w:pStyle w:val="Ttulo2"/>
      </w:pPr>
      <w:bookmarkStart w:id="11" w:name="_Toc404611045"/>
      <w:r w:rsidRPr="00C97CFD">
        <w:t>Alterar Suspensão da Consignatária / Tipo de Serviço</w:t>
      </w:r>
      <w:r w:rsidRPr="000D17C0">
        <w:t xml:space="preserve"> </w:t>
      </w:r>
      <w:r>
        <w:t>/ Consignação</w:t>
      </w:r>
      <w:bookmarkEnd w:id="11"/>
      <w:r w:rsidRPr="00C97CFD">
        <w:t> </w:t>
      </w:r>
    </w:p>
    <w:p w:rsidR="00FC0829" w:rsidRDefault="00FC0829" w:rsidP="00FC08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1046"/>
      <w:r>
        <w:t>Fluxo Básico</w:t>
      </w:r>
      <w:bookmarkEnd w:id="12"/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suspensão após executar a funcionalidade “</w:t>
      </w:r>
      <w:r w:rsidRPr="00A16D71">
        <w:t>Listar Suspensões das Consignatárias / T</w:t>
      </w:r>
      <w:r>
        <w:t xml:space="preserve">ipos de Serviço / Consignações”. 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alterar – informações principais.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 w:rsidRPr="006C574E">
        <w:rPr>
          <w:b/>
        </w:rPr>
        <w:t>RGN</w:t>
      </w:r>
      <w:r w:rsidRPr="006A6693">
        <w:rPr>
          <w:b/>
        </w:rPr>
        <w:t>2.1.15</w:t>
      </w:r>
      <w:r>
        <w:rPr>
          <w:b/>
        </w:rPr>
        <w:t>2</w:t>
      </w:r>
      <w:r w:rsidRPr="006A6693">
        <w:rPr>
          <w:b/>
        </w:rPr>
        <w:t>.1</w:t>
      </w:r>
      <w:r>
        <w:rPr>
          <w:b/>
        </w:rPr>
        <w:t xml:space="preserve">, </w:t>
      </w:r>
      <w:r w:rsidRPr="006C574E">
        <w:rPr>
          <w:b/>
        </w:rPr>
        <w:t>RGN</w:t>
      </w:r>
      <w:r w:rsidRPr="006A6693">
        <w:rPr>
          <w:b/>
        </w:rPr>
        <w:t>2.1.1</w:t>
      </w:r>
      <w:r>
        <w:rPr>
          <w:b/>
        </w:rPr>
        <w:t>2</w:t>
      </w:r>
      <w:r w:rsidRPr="006A6693">
        <w:rPr>
          <w:b/>
        </w:rPr>
        <w:t>1.1</w:t>
      </w:r>
      <w:r>
        <w:t>).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suspensão.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FC0829" w:rsidRDefault="00FC0829" w:rsidP="00FC0829">
      <w:pPr>
        <w:pStyle w:val="Recuodecorpodetexto"/>
      </w:pPr>
    </w:p>
    <w:p w:rsidR="00FC0829" w:rsidRDefault="00FC0829" w:rsidP="00FC0829">
      <w:pPr>
        <w:pStyle w:val="Recuodecorpodetexto"/>
      </w:pPr>
    </w:p>
    <w:p w:rsidR="00FC0829" w:rsidRPr="00C97CFD" w:rsidRDefault="00FC0829" w:rsidP="00F910CB">
      <w:pPr>
        <w:pStyle w:val="Ttulo2"/>
      </w:pPr>
      <w:bookmarkStart w:id="13" w:name="_Toc404611047"/>
      <w:r w:rsidRPr="00C97CFD">
        <w:t>Excluir Suspensão da Consignatária / Tipo de Serviço</w:t>
      </w:r>
      <w:r>
        <w:t xml:space="preserve"> / Consignação</w:t>
      </w:r>
      <w:bookmarkEnd w:id="13"/>
      <w:r w:rsidRPr="00C97CFD">
        <w:t>  </w:t>
      </w:r>
    </w:p>
    <w:p w:rsidR="00FC0829" w:rsidRDefault="00FC0829" w:rsidP="00FC08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1048"/>
      <w:r>
        <w:t>Fluxo Básico</w:t>
      </w:r>
      <w:bookmarkEnd w:id="14"/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suspensão após executar a funcionalidade “</w:t>
      </w:r>
      <w:r w:rsidRPr="00A16D71">
        <w:t>Listar Suspensões das Consignatárias / T</w:t>
      </w:r>
      <w:r>
        <w:t xml:space="preserve">ipos de Serviço / Consignações”. 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operação excluir.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 w:rsidRPr="006C574E">
        <w:rPr>
          <w:b/>
        </w:rPr>
        <w:t>RGN</w:t>
      </w:r>
      <w:r w:rsidRPr="006A6693">
        <w:rPr>
          <w:b/>
        </w:rPr>
        <w:t>2.1.15</w:t>
      </w:r>
      <w:r>
        <w:rPr>
          <w:b/>
        </w:rPr>
        <w:t>2</w:t>
      </w:r>
      <w:r w:rsidRPr="006A6693">
        <w:rPr>
          <w:b/>
        </w:rPr>
        <w:t>.1</w:t>
      </w:r>
      <w:r>
        <w:rPr>
          <w:b/>
        </w:rPr>
        <w:t xml:space="preserve">, </w:t>
      </w:r>
      <w:r w:rsidRPr="006C574E">
        <w:rPr>
          <w:b/>
        </w:rPr>
        <w:t>RGN</w:t>
      </w:r>
      <w:r w:rsidRPr="006A6693">
        <w:rPr>
          <w:b/>
        </w:rPr>
        <w:t>2.1.1</w:t>
      </w:r>
      <w:r>
        <w:rPr>
          <w:b/>
        </w:rPr>
        <w:t>2</w:t>
      </w:r>
      <w:r w:rsidRPr="006A6693">
        <w:rPr>
          <w:b/>
        </w:rPr>
        <w:t>1.1</w:t>
      </w:r>
      <w:r>
        <w:t>).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a suspensão selecionada.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FC0829" w:rsidRDefault="00FC0829" w:rsidP="00FC0829">
      <w:pPr>
        <w:pStyle w:val="Recuodecorpodetexto"/>
      </w:pPr>
    </w:p>
    <w:p w:rsidR="00FC0829" w:rsidRDefault="00FC0829" w:rsidP="00FC0829">
      <w:pPr>
        <w:pStyle w:val="Recuodecorpodetexto"/>
      </w:pPr>
    </w:p>
    <w:p w:rsidR="00FC0829" w:rsidRPr="00C97CFD" w:rsidRDefault="00FC0829" w:rsidP="00F910CB">
      <w:pPr>
        <w:pStyle w:val="Ttulo2"/>
      </w:pPr>
      <w:bookmarkStart w:id="15" w:name="_Toc404611049"/>
      <w:r w:rsidRPr="00C97CFD">
        <w:t>Listar Suspensões das Consignatárias / Tipos de Serviço</w:t>
      </w:r>
      <w:r>
        <w:t xml:space="preserve"> / Consignações</w:t>
      </w:r>
      <w:bookmarkEnd w:id="15"/>
      <w:r w:rsidRPr="00C97CFD">
        <w:t>  </w:t>
      </w:r>
    </w:p>
    <w:p w:rsidR="00FC0829" w:rsidRDefault="00FC0829" w:rsidP="00FC082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11050"/>
      <w:r>
        <w:t>Fluxo Básico</w:t>
      </w:r>
      <w:bookmarkEnd w:id="16"/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suspensões das consignatárias e/ou tipo de serviço e/ou consignações.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FC0829" w:rsidRDefault="00FC0829" w:rsidP="00FC082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suspensões, de acordo com os filtros informados, ordenada alfabeticamente pelo nome da consignatária e o nome do tipo de serviço.</w:t>
      </w:r>
    </w:p>
    <w:p w:rsidR="00FC0829" w:rsidRDefault="00FC0829" w:rsidP="00FC0829">
      <w:pPr>
        <w:pStyle w:val="Ttulo4"/>
        <w:numPr>
          <w:ilvl w:val="0"/>
          <w:numId w:val="0"/>
        </w:numPr>
      </w:pPr>
    </w:p>
    <w:p w:rsidR="00FC0829" w:rsidRDefault="00FC0829" w:rsidP="00FC0829"/>
    <w:p w:rsidR="00FC0829" w:rsidRPr="00DB4671" w:rsidRDefault="00FC0829" w:rsidP="00FC0829"/>
    <w:sectPr w:rsidR="00FC0829" w:rsidRPr="00DB4671" w:rsidSect="00F910CB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426" w:footer="17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829" w:rsidRDefault="00FC0829" w:rsidP="002908D9">
      <w:r>
        <w:separator/>
      </w:r>
    </w:p>
  </w:endnote>
  <w:endnote w:type="continuationSeparator" w:id="0">
    <w:p w:rsidR="00FC0829" w:rsidRDefault="00FC082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910CB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C082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910C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910CB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910C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C0829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C0829">
            <w:rPr>
              <w:b/>
              <w:sz w:val="20"/>
              <w:szCs w:val="20"/>
            </w:rPr>
            <w:t xml:space="preserve"> Consignatárias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910CB" w:rsidRPr="00F910CB">
            <w:rPr>
              <w:b/>
              <w:sz w:val="20"/>
              <w:szCs w:val="20"/>
            </w:rPr>
            <w:t>UCS0376 - Suspender Consignatárias, Tipos de Serviço e Consignações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994443A" wp14:editId="580A408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829" w:rsidRDefault="00FC0829" w:rsidP="002908D9">
      <w:r>
        <w:separator/>
      </w:r>
    </w:p>
  </w:footnote>
  <w:footnote w:type="continuationSeparator" w:id="0">
    <w:p w:rsidR="00FC0829" w:rsidRDefault="00FC082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F910CB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092A18B" wp14:editId="544C22CB">
          <wp:simplePos x="0" y="0"/>
          <wp:positionH relativeFrom="column">
            <wp:posOffset>4229100</wp:posOffset>
          </wp:positionH>
          <wp:positionV relativeFrom="paragraph">
            <wp:posOffset>-5080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DFA2A9" wp14:editId="296FE9DD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56B8D2A" wp14:editId="4A1361D8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49D7049" wp14:editId="06E9920A">
          <wp:simplePos x="0" y="0"/>
          <wp:positionH relativeFrom="column">
            <wp:posOffset>4610100</wp:posOffset>
          </wp:positionH>
          <wp:positionV relativeFrom="paragraph">
            <wp:posOffset>-130810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3C1EDE5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82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B470D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910CB"/>
    <w:rsid w:val="00FA2AF1"/>
    <w:rsid w:val="00FC0829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082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C082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910CB"/>
    <w:pPr>
      <w:widowControl w:val="0"/>
      <w:numPr>
        <w:ilvl w:val="1"/>
        <w:numId w:val="17"/>
      </w:numPr>
      <w:tabs>
        <w:tab w:val="left" w:pos="1080"/>
      </w:tabs>
      <w:spacing w:line="240" w:lineRule="auto"/>
      <w:ind w:left="1080" w:hanging="72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C082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C082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C082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C082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C082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C0829"/>
    <w:pPr>
      <w:ind w:left="0"/>
    </w:pPr>
  </w:style>
  <w:style w:type="paragraph" w:styleId="ndicedeilustraes">
    <w:name w:val="table of figures"/>
    <w:basedOn w:val="Normal"/>
    <w:next w:val="Normal"/>
    <w:semiHidden/>
    <w:rsid w:val="00FC0829"/>
  </w:style>
  <w:style w:type="paragraph" w:styleId="Sumrio2">
    <w:name w:val="toc 2"/>
    <w:basedOn w:val="Normal"/>
    <w:next w:val="Normal"/>
    <w:autoRedefine/>
    <w:uiPriority w:val="39"/>
    <w:rsid w:val="00FC082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C0829"/>
    <w:pPr>
      <w:ind w:left="480"/>
    </w:pPr>
  </w:style>
  <w:style w:type="character" w:styleId="Hyperlink">
    <w:name w:val="Hyperlink"/>
    <w:basedOn w:val="Fontepargpadro"/>
    <w:uiPriority w:val="99"/>
    <w:rsid w:val="00FC082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C082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C082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C082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C082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C082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C0829"/>
    <w:rPr>
      <w:sz w:val="16"/>
    </w:rPr>
  </w:style>
  <w:style w:type="character" w:styleId="Nmerodepgina">
    <w:name w:val="page number"/>
    <w:basedOn w:val="Fontepargpadro"/>
    <w:rsid w:val="00FC082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C082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C08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C082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C0829"/>
  </w:style>
  <w:style w:type="paragraph" w:styleId="Corpodetexto">
    <w:name w:val="Body Text"/>
    <w:basedOn w:val="Normal"/>
    <w:link w:val="CorpodetextoChar"/>
    <w:rsid w:val="00FC082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C0829"/>
    <w:rPr>
      <w:rFonts w:eastAsia="Arial Unicode MS"/>
    </w:rPr>
  </w:style>
  <w:style w:type="paragraph" w:customStyle="1" w:styleId="tabletext">
    <w:name w:val="tabletext"/>
    <w:basedOn w:val="Normal"/>
    <w:rsid w:val="00FC082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C082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C082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C082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C082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C082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C082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C082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C082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C0829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FC0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082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C082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910CB"/>
    <w:pPr>
      <w:widowControl w:val="0"/>
      <w:numPr>
        <w:ilvl w:val="1"/>
        <w:numId w:val="17"/>
      </w:numPr>
      <w:tabs>
        <w:tab w:val="left" w:pos="1080"/>
      </w:tabs>
      <w:spacing w:line="240" w:lineRule="auto"/>
      <w:ind w:left="1080" w:hanging="72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C082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C082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C082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C082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C082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C0829"/>
    <w:pPr>
      <w:ind w:left="0"/>
    </w:pPr>
  </w:style>
  <w:style w:type="paragraph" w:styleId="ndicedeilustraes">
    <w:name w:val="table of figures"/>
    <w:basedOn w:val="Normal"/>
    <w:next w:val="Normal"/>
    <w:semiHidden/>
    <w:rsid w:val="00FC0829"/>
  </w:style>
  <w:style w:type="paragraph" w:styleId="Sumrio2">
    <w:name w:val="toc 2"/>
    <w:basedOn w:val="Normal"/>
    <w:next w:val="Normal"/>
    <w:autoRedefine/>
    <w:uiPriority w:val="39"/>
    <w:rsid w:val="00FC082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C0829"/>
    <w:pPr>
      <w:ind w:left="480"/>
    </w:pPr>
  </w:style>
  <w:style w:type="character" w:styleId="Hyperlink">
    <w:name w:val="Hyperlink"/>
    <w:basedOn w:val="Fontepargpadro"/>
    <w:uiPriority w:val="99"/>
    <w:rsid w:val="00FC082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C082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C082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C082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C082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C082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C0829"/>
    <w:rPr>
      <w:sz w:val="16"/>
    </w:rPr>
  </w:style>
  <w:style w:type="character" w:styleId="Nmerodepgina">
    <w:name w:val="page number"/>
    <w:basedOn w:val="Fontepargpadro"/>
    <w:rsid w:val="00FC082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C082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C08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C082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C0829"/>
  </w:style>
  <w:style w:type="paragraph" w:styleId="Corpodetexto">
    <w:name w:val="Body Text"/>
    <w:basedOn w:val="Normal"/>
    <w:link w:val="CorpodetextoChar"/>
    <w:rsid w:val="00FC082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C0829"/>
    <w:rPr>
      <w:rFonts w:eastAsia="Arial Unicode MS"/>
    </w:rPr>
  </w:style>
  <w:style w:type="paragraph" w:customStyle="1" w:styleId="tabletext">
    <w:name w:val="tabletext"/>
    <w:basedOn w:val="Normal"/>
    <w:rsid w:val="00FC082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C082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C082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C082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C082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C082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C082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C082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C082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C0829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FC0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94F79-DD95-4D16-ACDE-D08916205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7</Pages>
  <Words>540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4535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2014-11-09T04:02:00Z</cp:lastPrinted>
  <dcterms:created xsi:type="dcterms:W3CDTF">2014-11-09T04:02:00Z</dcterms:created>
  <dcterms:modified xsi:type="dcterms:W3CDTF">2014-11-24T18:48:00Z</dcterms:modified>
</cp:coreProperties>
</file>