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D38" w:rsidRDefault="00CB7D38" w:rsidP="00CB7D3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B7D38" w:rsidRDefault="00CB7D38" w:rsidP="00CB7D38">
      <w:pPr>
        <w:widowControl w:val="0"/>
        <w:rPr>
          <w:rFonts w:cs="Arial"/>
          <w:sz w:val="20"/>
        </w:rPr>
      </w:pPr>
    </w:p>
    <w:p w:rsidR="00CB7D38" w:rsidRDefault="00CB7D38" w:rsidP="00CB7D38">
      <w:pPr>
        <w:widowControl w:val="0"/>
        <w:rPr>
          <w:rFonts w:cs="Arial"/>
          <w:sz w:val="20"/>
        </w:rPr>
      </w:pPr>
    </w:p>
    <w:p w:rsidR="00CB7D38" w:rsidRDefault="00CB7D38" w:rsidP="00CB7D38">
      <w:pPr>
        <w:widowControl w:val="0"/>
        <w:rPr>
          <w:rFonts w:cs="Arial"/>
          <w:sz w:val="20"/>
        </w:rPr>
      </w:pPr>
    </w:p>
    <w:p w:rsidR="00CB7D38" w:rsidRDefault="00CB7D38" w:rsidP="00CB7D38">
      <w:pPr>
        <w:widowControl w:val="0"/>
        <w:rPr>
          <w:rFonts w:cs="Arial"/>
          <w:sz w:val="20"/>
        </w:rPr>
      </w:pPr>
    </w:p>
    <w:p w:rsidR="00CB7D38" w:rsidRDefault="00CB7D38" w:rsidP="00CB7D3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B7D38" w:rsidRDefault="00CB7D38" w:rsidP="00CB7D38">
      <w:pPr>
        <w:widowControl w:val="0"/>
        <w:rPr>
          <w:rFonts w:cs="Arial"/>
          <w:sz w:val="20"/>
          <w:u w:val="single"/>
        </w:rPr>
      </w:pPr>
    </w:p>
    <w:p w:rsidR="00CB7D38" w:rsidRDefault="00CB7D38" w:rsidP="00CB7D3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B7D38" w:rsidRDefault="00CB7D38" w:rsidP="00CB7D38">
      <w:pPr>
        <w:widowControl w:val="0"/>
        <w:rPr>
          <w:rFonts w:cs="Arial"/>
          <w:sz w:val="20"/>
        </w:rPr>
      </w:pPr>
    </w:p>
    <w:p w:rsidR="00CB7D38" w:rsidRDefault="00CB7D38" w:rsidP="00CB7D38">
      <w:pPr>
        <w:widowControl w:val="0"/>
        <w:rPr>
          <w:rFonts w:cs="Arial"/>
          <w:sz w:val="20"/>
        </w:rPr>
      </w:pPr>
    </w:p>
    <w:p w:rsidR="00CB7D38" w:rsidRDefault="00CB7D38" w:rsidP="00CB7D38">
      <w:pPr>
        <w:widowControl w:val="0"/>
        <w:rPr>
          <w:rFonts w:cs="Arial"/>
          <w:sz w:val="20"/>
        </w:rPr>
      </w:pPr>
    </w:p>
    <w:p w:rsidR="00CB7D38" w:rsidRDefault="00CB7D38" w:rsidP="00CB7D3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B7D38" w:rsidRDefault="00CB7D38" w:rsidP="00CB7D38">
      <w:pPr>
        <w:widowControl w:val="0"/>
        <w:rPr>
          <w:rFonts w:cs="Arial"/>
          <w:sz w:val="20"/>
        </w:rPr>
      </w:pPr>
    </w:p>
    <w:p w:rsidR="00CB7D38" w:rsidRDefault="00CB7D38" w:rsidP="00CB7D38">
      <w:pPr>
        <w:widowControl w:val="0"/>
        <w:rPr>
          <w:rFonts w:cs="Arial"/>
          <w:sz w:val="20"/>
        </w:rPr>
      </w:pPr>
    </w:p>
    <w:p w:rsidR="00CB7D38" w:rsidRDefault="00CB7D38" w:rsidP="00CB7D38">
      <w:pPr>
        <w:widowControl w:val="0"/>
        <w:rPr>
          <w:rFonts w:cs="Arial"/>
        </w:rPr>
      </w:pPr>
    </w:p>
    <w:p w:rsidR="00CB7D38" w:rsidRDefault="00CB7D38" w:rsidP="00CB7D38">
      <w:pPr>
        <w:pStyle w:val="Capa"/>
        <w:rPr>
          <w:color w:val="FF9900"/>
        </w:rPr>
      </w:pPr>
      <w:r>
        <w:t>SINDRAPE</w:t>
      </w:r>
    </w:p>
    <w:p w:rsidR="00CB7D38" w:rsidRDefault="00CB7D38" w:rsidP="00CB7D3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B7D38" w:rsidRPr="00CB7D38" w:rsidRDefault="00CB7D38" w:rsidP="00CB7D38">
      <w:pPr>
        <w:widowControl w:val="0"/>
        <w:rPr>
          <w:color w:val="000080"/>
        </w:rPr>
      </w:pPr>
    </w:p>
    <w:p w:rsidR="00CB7D38" w:rsidRPr="00CB7D38" w:rsidRDefault="00CB7D38" w:rsidP="00CB7D38">
      <w:pPr>
        <w:widowControl w:val="0"/>
        <w:jc w:val="right"/>
        <w:rPr>
          <w:rFonts w:cs="Arial"/>
          <w:b/>
          <w:bCs/>
          <w:color w:val="000080"/>
        </w:rPr>
      </w:pPr>
    </w:p>
    <w:p w:rsidR="00CB7D38" w:rsidRDefault="00CB7D38" w:rsidP="00CB7D38">
      <w:pPr>
        <w:pStyle w:val="Capa"/>
      </w:pPr>
      <w:r>
        <w:t>UCS0377– Determinar Pagamento em Decorrência de Decisão Judicial</w:t>
      </w:r>
    </w:p>
    <w:p w:rsidR="00CB7D38" w:rsidRDefault="00CB7D38" w:rsidP="00CB7D38">
      <w:pPr>
        <w:widowControl w:val="0"/>
        <w:rPr>
          <w:rFonts w:cs="Arial"/>
        </w:rPr>
      </w:pPr>
    </w:p>
    <w:p w:rsidR="00CB7D38" w:rsidRDefault="00CB7D38" w:rsidP="00CB7D38">
      <w:pPr>
        <w:widowControl w:val="0"/>
      </w:pPr>
    </w:p>
    <w:p w:rsidR="00CB7D38" w:rsidRDefault="00CB7D38" w:rsidP="00CB7D3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B7D38" w:rsidRPr="00CB7D38" w:rsidRDefault="00CB7D38" w:rsidP="00CB7D38">
      <w:pPr>
        <w:pStyle w:val="Corpodetexto3"/>
        <w:widowControl w:val="0"/>
        <w:spacing w:after="0"/>
        <w:rPr>
          <w:rFonts w:cs="Arial"/>
        </w:rPr>
      </w:pPr>
      <w:r w:rsidRPr="00CB7D38">
        <w:rPr>
          <w:rFonts w:cs="Arial"/>
        </w:rPr>
        <w:lastRenderedPageBreak/>
        <w:t>Histórico de Revisões</w:t>
      </w:r>
    </w:p>
    <w:p w:rsidR="00CB7D38" w:rsidRDefault="00CB7D38" w:rsidP="00CB7D3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B7D38" w:rsidTr="00CB7D3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B7D38" w:rsidTr="00CB7D3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04/09/2008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Tiago Schraiber</w:t>
            </w:r>
          </w:p>
        </w:tc>
      </w:tr>
      <w:tr w:rsidR="00CB7D38" w:rsidTr="00CB7D3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13/11/2008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Inclusão de regra de negócio no fluxo de finalização.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7D38" w:rsidRDefault="00CB7D38" w:rsidP="00CB7D38">
            <w:pPr>
              <w:widowControl w:val="0"/>
              <w:ind w:left="0"/>
              <w:jc w:val="left"/>
              <w:rPr>
                <w:rFonts w:cs="Arial"/>
                <w:b/>
                <w:bCs/>
                <w:color w:val="FF00FF"/>
              </w:rPr>
            </w:pPr>
            <w:r>
              <w:rPr>
                <w:rFonts w:cs="Arial"/>
                <w:b/>
                <w:bCs/>
                <w:color w:val="FF00FF"/>
              </w:rPr>
              <w:t>Tiago Schraiber</w:t>
            </w:r>
          </w:p>
        </w:tc>
      </w:tr>
    </w:tbl>
    <w:p w:rsidR="00CB7D38" w:rsidRDefault="00CB7D38" w:rsidP="00CB7D3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CB7D38" w:rsidRPr="00CB7D38" w:rsidRDefault="00CB7D38" w:rsidP="00CB7D38">
      <w:pPr>
        <w:pStyle w:val="Corpodetexto3"/>
        <w:widowControl w:val="0"/>
        <w:spacing w:after="0"/>
        <w:jc w:val="left"/>
        <w:rPr>
          <w:rFonts w:cs="Arial"/>
        </w:rPr>
      </w:pPr>
      <w:r w:rsidRPr="00CB7D38">
        <w:rPr>
          <w:rFonts w:cs="Arial"/>
        </w:rPr>
        <w:lastRenderedPageBreak/>
        <w:t>Índice</w:t>
      </w:r>
    </w:p>
    <w:p w:rsidR="00CB7D38" w:rsidRPr="00CB7D38" w:rsidRDefault="00CB7D38" w:rsidP="00CB7D3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E3048" w:rsidRDefault="00CB7D38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0500" w:history="1">
        <w:r w:rsidR="002E3048" w:rsidRPr="00A70BBA">
          <w:rPr>
            <w:rStyle w:val="Hyperlink"/>
            <w:noProof/>
          </w:rPr>
          <w:t>1.</w:t>
        </w:r>
        <w:r w:rsidR="002E304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E3048" w:rsidRPr="00A70BBA">
          <w:rPr>
            <w:rStyle w:val="Hyperlink"/>
            <w:noProof/>
          </w:rPr>
          <w:t>Pacote/Caso de Uso</w:t>
        </w:r>
        <w:r w:rsidR="002E3048">
          <w:rPr>
            <w:noProof/>
            <w:webHidden/>
          </w:rPr>
          <w:tab/>
        </w:r>
        <w:r w:rsidR="002E3048">
          <w:rPr>
            <w:noProof/>
            <w:webHidden/>
          </w:rPr>
          <w:fldChar w:fldCharType="begin"/>
        </w:r>
        <w:r w:rsidR="002E3048">
          <w:rPr>
            <w:noProof/>
            <w:webHidden/>
          </w:rPr>
          <w:instrText xml:space="preserve"> PAGEREF _Toc404610500 \h </w:instrText>
        </w:r>
        <w:r w:rsidR="002E3048">
          <w:rPr>
            <w:noProof/>
            <w:webHidden/>
          </w:rPr>
        </w:r>
        <w:r w:rsidR="002E3048">
          <w:rPr>
            <w:noProof/>
            <w:webHidden/>
          </w:rPr>
          <w:fldChar w:fldCharType="separate"/>
        </w:r>
        <w:r w:rsidR="002E3048">
          <w:rPr>
            <w:noProof/>
            <w:webHidden/>
          </w:rPr>
          <w:t>4</w:t>
        </w:r>
        <w:r w:rsidR="002E3048"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01" w:history="1">
        <w:r w:rsidRPr="00A70BB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02" w:history="1">
        <w:r w:rsidRPr="00A70BB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03" w:history="1">
        <w:r w:rsidRPr="00A70BB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04" w:history="1">
        <w:r w:rsidRPr="00A70BB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05" w:history="1">
        <w:r w:rsidRPr="00A70BB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06" w:history="1">
        <w:r w:rsidRPr="00A70BB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07" w:history="1">
        <w:r w:rsidRPr="00A70BB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08" w:history="1">
        <w:r w:rsidRPr="00A70BB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Incluir Determinação de Pagamento em Decorrência de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09" w:history="1">
        <w:r w:rsidRPr="00A70BB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0" w:history="1">
        <w:r w:rsidRPr="00A70BB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Alterar Determinação de Pagamento em Decorrência de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1" w:history="1">
        <w:r w:rsidRPr="00A70BB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2" w:history="1">
        <w:r w:rsidRPr="00A70BB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Excluir Determinação de Pagamento em Decorrência de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3" w:history="1">
        <w:r w:rsidRPr="00A70BB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4" w:history="1">
        <w:r w:rsidRPr="00A70BB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Anular Determinação de Pagamento em Decorrência de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5" w:history="1">
        <w:r w:rsidRPr="00A70BB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6" w:history="1">
        <w:r w:rsidRPr="00A70BB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Listar Determinações de Pagamentos em Decorrência de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7" w:history="1">
        <w:r w:rsidRPr="00A70BB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2"/>
        <w:tabs>
          <w:tab w:val="left" w:pos="88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8" w:history="1">
        <w:r w:rsidRPr="00A70BBA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Finalizar Determinação de Pagamento em Decorrência de Decisão Judicial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3048" w:rsidRDefault="002E3048">
      <w:pPr>
        <w:pStyle w:val="Sumrio3"/>
        <w:tabs>
          <w:tab w:val="left" w:pos="132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0519" w:history="1">
        <w:r w:rsidRPr="00A70BBA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70BB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B7D38" w:rsidRDefault="00CB7D38" w:rsidP="00CB7D38">
      <w:pPr>
        <w:pStyle w:val="Sumrio1"/>
      </w:pPr>
      <w:r>
        <w:fldChar w:fldCharType="end"/>
      </w:r>
    </w:p>
    <w:p w:rsidR="002E3048" w:rsidRDefault="002E3048">
      <w:pPr>
        <w:spacing w:line="240" w:lineRule="auto"/>
        <w:ind w:left="0"/>
        <w:jc w:val="left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br w:type="page"/>
      </w:r>
    </w:p>
    <w:p w:rsidR="00CB7D38" w:rsidRDefault="00CB7D38" w:rsidP="00CB7D38">
      <w:pPr>
        <w:widowControl w:val="0"/>
        <w:rPr>
          <w:rFonts w:cs="Arial"/>
          <w:b/>
          <w:bCs/>
          <w:color w:val="000000"/>
        </w:rPr>
      </w:pPr>
    </w:p>
    <w:p w:rsidR="00CB7D38" w:rsidRDefault="00CB7D38" w:rsidP="00CB7D3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0500"/>
      <w:r>
        <w:t>Pacote/Caso de Uso</w:t>
      </w:r>
      <w:bookmarkEnd w:id="1"/>
    </w:p>
    <w:p w:rsidR="00CB7D38" w:rsidRDefault="00CB7D38" w:rsidP="00CB7D38"/>
    <w:p w:rsidR="00CB7D38" w:rsidRDefault="00CB7D38" w:rsidP="00CB7D38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Determinar Pagamento em Decorrência de Decisão Judicial</w:t>
      </w:r>
    </w:p>
    <w:p w:rsidR="00CB7D38" w:rsidRDefault="00CB7D38" w:rsidP="00CB7D38">
      <w:pPr>
        <w:widowControl w:val="0"/>
        <w:ind w:left="902"/>
        <w:rPr>
          <w:rFonts w:cs="Arial"/>
          <w:b/>
          <w:bCs/>
          <w:color w:val="FF0000"/>
        </w:rPr>
      </w:pPr>
    </w:p>
    <w:p w:rsidR="00CB7D38" w:rsidRDefault="00CB7D38" w:rsidP="002E3048">
      <w:pPr>
        <w:pStyle w:val="Ttulo2"/>
      </w:pPr>
      <w:bookmarkStart w:id="2" w:name="_Toc404610501"/>
      <w:r>
        <w:t>Descrição</w:t>
      </w:r>
      <w:bookmarkEnd w:id="2"/>
    </w:p>
    <w:p w:rsidR="00CB7D38" w:rsidRDefault="00CB7D38" w:rsidP="00CB7D38">
      <w:pPr>
        <w:pStyle w:val="Recuodecorpodetexto2"/>
        <w:widowControl w:val="0"/>
        <w:ind w:left="1620" w:firstLine="0"/>
        <w:rPr>
          <w:sz w:val="24"/>
        </w:rPr>
      </w:pPr>
    </w:p>
    <w:p w:rsidR="00CB7D38" w:rsidRDefault="00CB7D38" w:rsidP="00CB7D3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Definem as rubricas compulsórias que podem constar no pagamento do servidor, através de decisões judiciais.</w:t>
      </w:r>
    </w:p>
    <w:p w:rsidR="00CB7D38" w:rsidRDefault="00CB7D38" w:rsidP="00CB7D38">
      <w:pPr>
        <w:pStyle w:val="Recuodecorpodetexto2"/>
        <w:widowControl w:val="0"/>
        <w:ind w:left="1620" w:firstLine="0"/>
        <w:rPr>
          <w:sz w:val="24"/>
        </w:rPr>
      </w:pPr>
    </w:p>
    <w:p w:rsidR="00CB7D38" w:rsidRDefault="00CB7D38" w:rsidP="002E3048">
      <w:pPr>
        <w:pStyle w:val="Ttulo2"/>
      </w:pPr>
      <w:bookmarkStart w:id="3" w:name="_Toc404610502"/>
      <w:r>
        <w:t>Requisitos atendidos</w:t>
      </w:r>
      <w:bookmarkEnd w:id="3"/>
    </w:p>
    <w:p w:rsidR="00CB7D38" w:rsidRDefault="00CB7D38" w:rsidP="00CB7D38"/>
    <w:p w:rsidR="00CB7D38" w:rsidRDefault="00CB7D38" w:rsidP="00CB7D38">
      <w:pPr>
        <w:pStyle w:val="Recuodecorpodetexto"/>
        <w:ind w:left="1260"/>
      </w:pPr>
      <w:r>
        <w:t>R 2.3.16.1  - Decisões judiciais para eventos</w:t>
      </w:r>
    </w:p>
    <w:p w:rsidR="00CB7D38" w:rsidRDefault="00CB7D38" w:rsidP="00CB7D38"/>
    <w:p w:rsidR="00CB7D38" w:rsidRDefault="00CB7D38" w:rsidP="00CB7D3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0503"/>
      <w:r>
        <w:t>Conceito</w:t>
      </w:r>
      <w:bookmarkEnd w:id="4"/>
      <w:r>
        <w:tab/>
      </w:r>
    </w:p>
    <w:p w:rsidR="00CB7D38" w:rsidRDefault="00CB7D38" w:rsidP="00CB7D38"/>
    <w:p w:rsidR="00CB7D38" w:rsidRDefault="00CB7D38" w:rsidP="002E3048">
      <w:pPr>
        <w:pStyle w:val="Ttulo2"/>
      </w:pPr>
      <w:bookmarkStart w:id="5" w:name="_Toc404610504"/>
      <w:r>
        <w:t>Conceitos principais</w:t>
      </w:r>
      <w:bookmarkEnd w:id="5"/>
    </w:p>
    <w:p w:rsidR="00CB7D38" w:rsidRDefault="00CB7D38" w:rsidP="00CB7D38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06"/>
      </w:tblGrid>
      <w:tr w:rsidR="00CB7D38" w:rsidTr="00FF700E">
        <w:tc>
          <w:tcPr>
            <w:tcW w:w="4605" w:type="dxa"/>
          </w:tcPr>
          <w:p w:rsidR="00CB7D38" w:rsidRDefault="00CB7D38" w:rsidP="00CB7D38">
            <w:pPr>
              <w:ind w:left="0"/>
              <w:jc w:val="left"/>
              <w:rPr>
                <w:rFonts w:cs="Arial"/>
                <w:b/>
                <w:bCs/>
              </w:rPr>
            </w:pPr>
            <w:bookmarkStart w:id="6" w:name="_Toc206391417"/>
            <w:r>
              <w:rPr>
                <w:rFonts w:cs="Arial"/>
                <w:b/>
                <w:bCs/>
              </w:rPr>
              <w:t>Eventos de pagamento do agrupamento: decisões judiciais</w:t>
            </w:r>
            <w:bookmarkEnd w:id="6"/>
          </w:p>
        </w:tc>
        <w:tc>
          <w:tcPr>
            <w:tcW w:w="4606" w:type="dxa"/>
          </w:tcPr>
          <w:p w:rsidR="00CB7D38" w:rsidRDefault="00CB7D38" w:rsidP="00FF700E">
            <w:pPr>
              <w:rPr>
                <w:rFonts w:cs="Arial"/>
              </w:rPr>
            </w:pPr>
            <w:r>
              <w:rPr>
                <w:rFonts w:cs="Arial"/>
              </w:rPr>
              <w:t>Definem as rubricas compulsórias que podem constar no pagamento do servidor, através de decisões judiciais.</w:t>
            </w:r>
          </w:p>
        </w:tc>
      </w:tr>
    </w:tbl>
    <w:p w:rsidR="00CB7D38" w:rsidRDefault="00CB7D38" w:rsidP="00CB7D38">
      <w:pPr>
        <w:rPr>
          <w:rFonts w:cs="Arial"/>
        </w:rPr>
      </w:pPr>
    </w:p>
    <w:p w:rsidR="00CB7D38" w:rsidRDefault="00CB7D38" w:rsidP="002E3048">
      <w:pPr>
        <w:pStyle w:val="Ttulo2"/>
      </w:pPr>
      <w:bookmarkStart w:id="7" w:name="_Toc404610505"/>
      <w:r>
        <w:t>Conceitos associados</w:t>
      </w:r>
      <w:bookmarkEnd w:id="7"/>
    </w:p>
    <w:p w:rsidR="00CB7D38" w:rsidRDefault="00CB7D38" w:rsidP="00CB7D38">
      <w:pPr>
        <w:pStyle w:val="Cabealho"/>
        <w:rPr>
          <w:rFonts w:cs="Arial"/>
        </w:rPr>
      </w:pPr>
    </w:p>
    <w:p w:rsidR="00CB7D38" w:rsidRDefault="00CB7D38" w:rsidP="00CB7D38">
      <w:pPr>
        <w:pStyle w:val="Cabealho"/>
        <w:ind w:firstLine="360"/>
        <w:rPr>
          <w:rFonts w:cs="Arial"/>
        </w:rPr>
      </w:pPr>
      <w:r>
        <w:rPr>
          <w:rFonts w:cs="Arial"/>
        </w:rPr>
        <w:t>Não se aplica.</w:t>
      </w:r>
    </w:p>
    <w:p w:rsidR="00CB7D38" w:rsidRDefault="00CB7D38" w:rsidP="00CB7D38">
      <w:pPr>
        <w:rPr>
          <w:rFonts w:eastAsia="Arial Unicode MS"/>
        </w:rPr>
      </w:pPr>
    </w:p>
    <w:p w:rsidR="00CB7D38" w:rsidRDefault="00CB7D38" w:rsidP="00CB7D3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0506"/>
      <w:r>
        <w:lastRenderedPageBreak/>
        <w:t>Diagrama</w:t>
      </w:r>
      <w:bookmarkEnd w:id="8"/>
    </w:p>
    <w:p w:rsidR="00CB7D38" w:rsidRDefault="00CB7D38" w:rsidP="00CB7D3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B7D38" w:rsidRDefault="002E3048" w:rsidP="00CB7D3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760720" cy="503631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3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D38" w:rsidRDefault="00CB7D38" w:rsidP="00CB7D38">
      <w:pPr>
        <w:widowControl w:val="0"/>
        <w:jc w:val="center"/>
        <w:rPr>
          <w:rFonts w:cs="Arial"/>
        </w:rPr>
      </w:pPr>
    </w:p>
    <w:p w:rsidR="00CB7D38" w:rsidRDefault="00CB7D38" w:rsidP="00CB7D38">
      <w:pPr>
        <w:widowControl w:val="0"/>
        <w:jc w:val="center"/>
        <w:rPr>
          <w:rFonts w:cs="Arial"/>
        </w:rPr>
      </w:pPr>
    </w:p>
    <w:p w:rsidR="00CB7D38" w:rsidRDefault="00CB7D38" w:rsidP="00CB7D3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0507"/>
      <w:r>
        <w:lastRenderedPageBreak/>
        <w:t>Casos de Uso</w:t>
      </w:r>
      <w:bookmarkEnd w:id="9"/>
    </w:p>
    <w:p w:rsidR="00CB7D38" w:rsidRDefault="00CB7D38" w:rsidP="002E3048">
      <w:pPr>
        <w:pStyle w:val="Ttulo2"/>
      </w:pPr>
      <w:bookmarkStart w:id="10" w:name="_Toc404610508"/>
      <w:r>
        <w:t>Incluir Determinação de Pagamento em Decorrência de Decisão Judicial</w:t>
      </w:r>
      <w:bookmarkEnd w:id="10"/>
      <w:r>
        <w:t> </w:t>
      </w:r>
    </w:p>
    <w:p w:rsidR="00CB7D38" w:rsidRDefault="00CB7D38" w:rsidP="00CB7D3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1" w:name="_Toc404610509"/>
      <w:r>
        <w:t>Fluxo Básico</w:t>
      </w:r>
      <w:bookmarkEnd w:id="11"/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incluir nova determinação de pagamento em decorrência de decisão judicial.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r>
        <w:rPr>
          <w:b/>
          <w:bCs w:val="0"/>
        </w:rPr>
        <w:t>RGN2.1.64.1, RGN2.1.65.1, RGN2.1.68.1, RGN2.1.68.2, RGN2.1.73.1</w:t>
      </w:r>
      <w:r>
        <w:t>).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CB7D38" w:rsidRDefault="00CB7D38" w:rsidP="00CB7D38">
      <w:pPr>
        <w:pStyle w:val="Ttulo4"/>
        <w:numPr>
          <w:ilvl w:val="0"/>
          <w:numId w:val="0"/>
        </w:numPr>
        <w:ind w:left="1080"/>
      </w:pPr>
    </w:p>
    <w:p w:rsidR="00CB7D38" w:rsidRDefault="00CB7D38" w:rsidP="00CB7D38">
      <w:pPr>
        <w:pStyle w:val="Recuodecorpodetexto"/>
      </w:pPr>
    </w:p>
    <w:p w:rsidR="00CB7D38" w:rsidRDefault="00CB7D38" w:rsidP="002E3048">
      <w:pPr>
        <w:pStyle w:val="Ttulo2"/>
      </w:pPr>
      <w:bookmarkStart w:id="12" w:name="_Toc404610510"/>
      <w:r>
        <w:t>Alterar Determinação de Pagamento em Decorrência de Decisão Judicial</w:t>
      </w:r>
      <w:bookmarkEnd w:id="12"/>
      <w:r>
        <w:t> </w:t>
      </w:r>
    </w:p>
    <w:p w:rsidR="00CB7D38" w:rsidRDefault="00CB7D38" w:rsidP="00CB7D3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3" w:name="_Toc404610511"/>
      <w:r>
        <w:t>Fluxo Básico</w:t>
      </w:r>
      <w:bookmarkEnd w:id="13"/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determinação de pagamento após executar a funcionalidade “Listar Determinações de Pagamentos em Decorrência de Decisão Judicial”.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que permite alterar as “Informações Principais” da determinação selecionada;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relativos a determinação selecionada.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r>
        <w:rPr>
          <w:b/>
          <w:bCs w:val="0"/>
        </w:rPr>
        <w:t>RGN2.1.64.1, RGN2.1.69.5, RGN2.1.73.1</w:t>
      </w:r>
      <w:r>
        <w:t>).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CB7D38" w:rsidRDefault="00CB7D38" w:rsidP="00CB7D38">
      <w:pPr>
        <w:pStyle w:val="Recuodecorpodetexto"/>
      </w:pPr>
    </w:p>
    <w:p w:rsidR="00CB7D38" w:rsidRDefault="00CB7D38" w:rsidP="00CB7D38">
      <w:pPr>
        <w:pStyle w:val="Recuodecorpodetexto"/>
      </w:pPr>
    </w:p>
    <w:p w:rsidR="00CB7D38" w:rsidRDefault="00CB7D38" w:rsidP="00CB7D38">
      <w:pPr>
        <w:pStyle w:val="Recuodecorpodetexto"/>
      </w:pPr>
    </w:p>
    <w:p w:rsidR="00CB7D38" w:rsidRDefault="00CB7D38" w:rsidP="00CB7D38">
      <w:pPr>
        <w:pStyle w:val="Recuodecorpodetexto"/>
      </w:pPr>
    </w:p>
    <w:p w:rsidR="00CB7D38" w:rsidRDefault="00CB7D38" w:rsidP="00CB7D38">
      <w:pPr>
        <w:pStyle w:val="Recuodecorpodetexto"/>
      </w:pPr>
    </w:p>
    <w:p w:rsidR="00CB7D38" w:rsidRDefault="00CB7D38" w:rsidP="00CB7D38">
      <w:pPr>
        <w:pStyle w:val="Recuodecorpodetexto"/>
      </w:pPr>
    </w:p>
    <w:p w:rsidR="00CB7D38" w:rsidRDefault="00CB7D38" w:rsidP="00CB7D38">
      <w:pPr>
        <w:pStyle w:val="Recuodecorpodetexto"/>
      </w:pPr>
    </w:p>
    <w:p w:rsidR="00CB7D38" w:rsidRDefault="00CB7D38" w:rsidP="00CB7D38">
      <w:pPr>
        <w:pStyle w:val="Recuodecorpodetexto"/>
      </w:pPr>
    </w:p>
    <w:p w:rsidR="00CB7D38" w:rsidRDefault="00CB7D38" w:rsidP="002E3048">
      <w:pPr>
        <w:pStyle w:val="Ttulo2"/>
      </w:pPr>
      <w:bookmarkStart w:id="14" w:name="_Toc404610512"/>
      <w:r>
        <w:t>Excluir Determinação de Pagamento em Decorrência de Decisão Judicial</w:t>
      </w:r>
      <w:bookmarkEnd w:id="14"/>
      <w:r>
        <w:t> </w:t>
      </w:r>
    </w:p>
    <w:p w:rsidR="00CB7D38" w:rsidRDefault="00CB7D38" w:rsidP="00CB7D3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5" w:name="_Toc404610513"/>
      <w:r>
        <w:t>Fluxo Básico</w:t>
      </w:r>
      <w:bookmarkEnd w:id="15"/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determinação de pagamento após executar a funcionalidade “Listar Determinações de Pagamentos em Decorrência de Decisão Judicial”.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exclusão.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r>
        <w:rPr>
          <w:b/>
          <w:bCs w:val="0"/>
        </w:rPr>
        <w:t>RGN2.1.69.5</w:t>
      </w:r>
      <w:r>
        <w:t>).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CB7D38" w:rsidRDefault="00CB7D38" w:rsidP="002E3048">
      <w:pPr>
        <w:pStyle w:val="Ttulo2"/>
      </w:pPr>
      <w:bookmarkStart w:id="16" w:name="_Toc404610514"/>
      <w:r>
        <w:t>Anular Determinação de Pagamento em Decorrência de Decisão Judicial</w:t>
      </w:r>
      <w:bookmarkEnd w:id="16"/>
      <w:r>
        <w:t> </w:t>
      </w:r>
    </w:p>
    <w:p w:rsidR="00CB7D38" w:rsidRDefault="00CB7D38" w:rsidP="00CB7D3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7" w:name="_Toc404610515"/>
      <w:r>
        <w:t>Fluxo Básico</w:t>
      </w:r>
      <w:bookmarkEnd w:id="17"/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determinação de pagamento após executar a funcionalidade “Listar Determinações de Pagamentos em Decorrência de Decisão Judicial”.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anulação.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r>
        <w:rPr>
          <w:b/>
          <w:bCs w:val="0"/>
        </w:rPr>
        <w:t>RGN2.1.70.1</w:t>
      </w:r>
      <w:r>
        <w:t>).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CB7D38" w:rsidRDefault="00CB7D38" w:rsidP="002E3048">
      <w:pPr>
        <w:pStyle w:val="Ttulo2"/>
      </w:pPr>
      <w:bookmarkStart w:id="18" w:name="_Toc404610516"/>
      <w:r>
        <w:t>Listar Determinações de Pagamentos em Decorrência de Decisão Judicial</w:t>
      </w:r>
      <w:bookmarkEnd w:id="18"/>
      <w:r>
        <w:t> </w:t>
      </w:r>
    </w:p>
    <w:p w:rsidR="00CB7D38" w:rsidRDefault="00CB7D38" w:rsidP="00CB7D3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9" w:name="_Toc404610517"/>
      <w:r>
        <w:t>Fluxo Básico</w:t>
      </w:r>
      <w:bookmarkEnd w:id="19"/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Determinações de Pagamentos em Decorrência de Decisão Judicial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todas as determinações de pagamento em decorrência de decisão judicial, de acordo com </w:t>
      </w:r>
      <w:r>
        <w:lastRenderedPageBreak/>
        <w:t>os filtros informados, ordenados alfabeticamente pelo nome da pessoa e decrescentemente pela vigência inicial da determinação.</w:t>
      </w:r>
    </w:p>
    <w:p w:rsidR="00CB7D38" w:rsidRDefault="00CB7D38" w:rsidP="00CB7D38">
      <w:pPr>
        <w:pStyle w:val="Recuodecorpodetexto"/>
      </w:pPr>
    </w:p>
    <w:p w:rsidR="00CB7D38" w:rsidRDefault="00CB7D38" w:rsidP="00CB7D38">
      <w:pPr>
        <w:pStyle w:val="Recuodecorpodetexto"/>
      </w:pPr>
    </w:p>
    <w:p w:rsidR="00CB7D38" w:rsidRDefault="00CB7D38" w:rsidP="002E3048">
      <w:pPr>
        <w:pStyle w:val="Ttulo2"/>
      </w:pPr>
      <w:bookmarkStart w:id="20" w:name="_Toc404610518"/>
      <w:r>
        <w:t>Finalizar Determinação de Pagamento em Decorrência de Decisão Judicial</w:t>
      </w:r>
      <w:bookmarkEnd w:id="20"/>
      <w:r>
        <w:t> </w:t>
      </w:r>
    </w:p>
    <w:p w:rsidR="00CB7D38" w:rsidRDefault="00CB7D38" w:rsidP="00CB7D3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1" w:name="_Toc404610519"/>
      <w:r>
        <w:t>Fluxo Básico</w:t>
      </w:r>
      <w:bookmarkEnd w:id="21"/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determinação de pagamento após executar a funcionalidade “Listar Determinações de Pagamentos em Decorrência de Decisão Judicial”.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finalização.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da determinação de pagamento e formulário para preenchimento da referência final da vigência.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referência final da vigência.</w:t>
      </w:r>
    </w:p>
    <w:p w:rsidR="00CB7D38" w:rsidRDefault="00CB7D38" w:rsidP="00CB7D3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Exceções e com as regras estabelecidas no documento Regras de Negócio do módulo de Pagamento (</w:t>
      </w:r>
      <w:r>
        <w:rPr>
          <w:b/>
          <w:bCs w:val="0"/>
        </w:rPr>
        <w:t xml:space="preserve">RGN2.1.69.6, </w:t>
      </w:r>
      <w:r>
        <w:rPr>
          <w:b/>
          <w:bCs w:val="0"/>
          <w:color w:val="FF00FF"/>
        </w:rPr>
        <w:t>RGN2.1.64.1</w:t>
      </w:r>
      <w:r>
        <w:t>).</w:t>
      </w:r>
    </w:p>
    <w:p w:rsidR="00CB7D38" w:rsidRDefault="00CB7D38" w:rsidP="002E304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MSG0006 ("Operação efetuada com sucesso!"). </w:t>
      </w:r>
    </w:p>
    <w:sectPr w:rsidR="00CB7D38" w:rsidSect="002E304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133" w:bottom="1417" w:left="1701" w:header="426" w:footer="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7D38" w:rsidRDefault="00CB7D38" w:rsidP="002908D9">
      <w:r>
        <w:separator/>
      </w:r>
    </w:p>
  </w:endnote>
  <w:endnote w:type="continuationSeparator" w:id="0">
    <w:p w:rsidR="00CB7D38" w:rsidRDefault="00CB7D3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E304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B7D3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Tiago Schraiber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E304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E3048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E304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B7D38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E3048" w:rsidRPr="002E3048">
            <w:rPr>
              <w:b/>
              <w:sz w:val="20"/>
              <w:szCs w:val="20"/>
            </w:rPr>
            <w:t>UCS0377– Determinar Pagamento em Decorrência de Decisão Judicial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78990AD" wp14:editId="137FE8F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7D38" w:rsidRDefault="00CB7D38" w:rsidP="002908D9">
      <w:r>
        <w:separator/>
      </w:r>
    </w:p>
  </w:footnote>
  <w:footnote w:type="continuationSeparator" w:id="0">
    <w:p w:rsidR="00CB7D38" w:rsidRDefault="00CB7D3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674952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C5A210C" wp14:editId="58B2B0C2">
          <wp:simplePos x="0" y="0"/>
          <wp:positionH relativeFrom="column">
            <wp:posOffset>4276725</wp:posOffset>
          </wp:positionH>
          <wp:positionV relativeFrom="paragraph">
            <wp:posOffset>-5080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A33F5CA" wp14:editId="1669352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D27F84C" wp14:editId="616D561F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3A8DCD49" wp14:editId="6D09442E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C13EEF8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D3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E3048"/>
    <w:rsid w:val="003274E5"/>
    <w:rsid w:val="003328F5"/>
    <w:rsid w:val="00367024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74952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B7D38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7D3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B7D3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3048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B7D3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B7D3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B7D3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B7D3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B7D3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B7D38"/>
    <w:pPr>
      <w:ind w:left="0"/>
    </w:pPr>
  </w:style>
  <w:style w:type="paragraph" w:styleId="ndicedeilustraes">
    <w:name w:val="table of figures"/>
    <w:basedOn w:val="Normal"/>
    <w:next w:val="Normal"/>
    <w:semiHidden/>
    <w:rsid w:val="00CB7D38"/>
  </w:style>
  <w:style w:type="paragraph" w:styleId="Sumrio2">
    <w:name w:val="toc 2"/>
    <w:basedOn w:val="Normal"/>
    <w:next w:val="Normal"/>
    <w:autoRedefine/>
    <w:uiPriority w:val="39"/>
    <w:rsid w:val="00CB7D3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B7D38"/>
    <w:pPr>
      <w:ind w:left="480"/>
    </w:pPr>
  </w:style>
  <w:style w:type="character" w:styleId="Hyperlink">
    <w:name w:val="Hyperlink"/>
    <w:basedOn w:val="Fontepargpadro"/>
    <w:uiPriority w:val="99"/>
    <w:rsid w:val="00CB7D3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B7D3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B7D3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B7D3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B7D3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B7D3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B7D38"/>
    <w:rPr>
      <w:sz w:val="16"/>
    </w:rPr>
  </w:style>
  <w:style w:type="character" w:styleId="Nmerodepgina">
    <w:name w:val="page number"/>
    <w:basedOn w:val="Fontepargpadro"/>
    <w:rsid w:val="00CB7D3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B7D3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B7D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B7D3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B7D38"/>
  </w:style>
  <w:style w:type="paragraph" w:styleId="Corpodetexto">
    <w:name w:val="Body Text"/>
    <w:basedOn w:val="Normal"/>
    <w:link w:val="CorpodetextoChar"/>
    <w:rsid w:val="00CB7D3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B7D38"/>
    <w:rPr>
      <w:rFonts w:eastAsia="Arial Unicode MS"/>
    </w:rPr>
  </w:style>
  <w:style w:type="paragraph" w:customStyle="1" w:styleId="tabletext">
    <w:name w:val="tabletext"/>
    <w:basedOn w:val="Normal"/>
    <w:rsid w:val="00CB7D3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B7D3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B7D3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B7D3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B7D3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B7D3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B7D3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B7D3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B7D3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B7D3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7D3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B7D3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3048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B7D3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B7D3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B7D3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B7D3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B7D3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B7D38"/>
    <w:pPr>
      <w:ind w:left="0"/>
    </w:pPr>
  </w:style>
  <w:style w:type="paragraph" w:styleId="ndicedeilustraes">
    <w:name w:val="table of figures"/>
    <w:basedOn w:val="Normal"/>
    <w:next w:val="Normal"/>
    <w:semiHidden/>
    <w:rsid w:val="00CB7D38"/>
  </w:style>
  <w:style w:type="paragraph" w:styleId="Sumrio2">
    <w:name w:val="toc 2"/>
    <w:basedOn w:val="Normal"/>
    <w:next w:val="Normal"/>
    <w:autoRedefine/>
    <w:uiPriority w:val="39"/>
    <w:rsid w:val="00CB7D3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B7D38"/>
    <w:pPr>
      <w:ind w:left="480"/>
    </w:pPr>
  </w:style>
  <w:style w:type="character" w:styleId="Hyperlink">
    <w:name w:val="Hyperlink"/>
    <w:basedOn w:val="Fontepargpadro"/>
    <w:uiPriority w:val="99"/>
    <w:rsid w:val="00CB7D3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B7D3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B7D3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B7D3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B7D3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B7D3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B7D38"/>
    <w:rPr>
      <w:sz w:val="16"/>
    </w:rPr>
  </w:style>
  <w:style w:type="character" w:styleId="Nmerodepgina">
    <w:name w:val="page number"/>
    <w:basedOn w:val="Fontepargpadro"/>
    <w:rsid w:val="00CB7D3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B7D3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B7D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B7D3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B7D38"/>
  </w:style>
  <w:style w:type="paragraph" w:styleId="Corpodetexto">
    <w:name w:val="Body Text"/>
    <w:basedOn w:val="Normal"/>
    <w:link w:val="CorpodetextoChar"/>
    <w:rsid w:val="00CB7D3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B7D38"/>
    <w:rPr>
      <w:rFonts w:eastAsia="Arial Unicode MS"/>
    </w:rPr>
  </w:style>
  <w:style w:type="paragraph" w:customStyle="1" w:styleId="tabletext">
    <w:name w:val="tabletext"/>
    <w:basedOn w:val="Normal"/>
    <w:rsid w:val="00CB7D3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B7D3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B7D3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B7D3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B7D3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B7D3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B7D3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B7D3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B7D3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B7D3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7AB86-35A4-44A0-96E5-746D6300A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18</TotalTime>
  <Pages>8</Pages>
  <Words>819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6615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2014-11-09T04:03:00Z</cp:lastPrinted>
  <dcterms:created xsi:type="dcterms:W3CDTF">2014-11-09T04:02:00Z</dcterms:created>
  <dcterms:modified xsi:type="dcterms:W3CDTF">2014-11-24T18:39:00Z</dcterms:modified>
</cp:coreProperties>
</file>