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94B" w:rsidRDefault="002E794B" w:rsidP="002E794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E794B" w:rsidRDefault="002E794B" w:rsidP="002E794B">
      <w:pPr>
        <w:widowControl w:val="0"/>
        <w:rPr>
          <w:rFonts w:cs="Arial"/>
          <w:sz w:val="20"/>
        </w:rPr>
      </w:pPr>
    </w:p>
    <w:p w:rsidR="002E794B" w:rsidRDefault="002E794B" w:rsidP="002E794B">
      <w:pPr>
        <w:widowControl w:val="0"/>
        <w:rPr>
          <w:rFonts w:cs="Arial"/>
          <w:sz w:val="20"/>
        </w:rPr>
      </w:pPr>
    </w:p>
    <w:p w:rsidR="002E794B" w:rsidRDefault="002E794B" w:rsidP="002E794B">
      <w:pPr>
        <w:widowControl w:val="0"/>
        <w:rPr>
          <w:rFonts w:cs="Arial"/>
          <w:sz w:val="20"/>
        </w:rPr>
      </w:pPr>
    </w:p>
    <w:p w:rsidR="002E794B" w:rsidRDefault="002E794B" w:rsidP="002E794B">
      <w:pPr>
        <w:widowControl w:val="0"/>
        <w:rPr>
          <w:rFonts w:cs="Arial"/>
          <w:sz w:val="20"/>
        </w:rPr>
      </w:pPr>
    </w:p>
    <w:p w:rsidR="002E794B" w:rsidRDefault="002E794B" w:rsidP="002E794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E794B" w:rsidRDefault="002E794B" w:rsidP="002E794B">
      <w:pPr>
        <w:widowControl w:val="0"/>
        <w:rPr>
          <w:rFonts w:cs="Arial"/>
          <w:sz w:val="20"/>
          <w:u w:val="single"/>
        </w:rPr>
      </w:pPr>
    </w:p>
    <w:p w:rsidR="002E794B" w:rsidRDefault="002E794B" w:rsidP="002E794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E794B" w:rsidRDefault="002E794B" w:rsidP="002E794B">
      <w:pPr>
        <w:widowControl w:val="0"/>
        <w:rPr>
          <w:rFonts w:cs="Arial"/>
          <w:sz w:val="20"/>
        </w:rPr>
      </w:pPr>
    </w:p>
    <w:p w:rsidR="002E794B" w:rsidRDefault="002E794B" w:rsidP="002E794B">
      <w:pPr>
        <w:widowControl w:val="0"/>
        <w:rPr>
          <w:rFonts w:cs="Arial"/>
          <w:sz w:val="20"/>
        </w:rPr>
      </w:pPr>
    </w:p>
    <w:p w:rsidR="002E794B" w:rsidRDefault="002E794B" w:rsidP="002E794B">
      <w:pPr>
        <w:widowControl w:val="0"/>
        <w:rPr>
          <w:rFonts w:cs="Arial"/>
          <w:sz w:val="20"/>
        </w:rPr>
      </w:pPr>
    </w:p>
    <w:p w:rsidR="002E794B" w:rsidRDefault="002E794B" w:rsidP="002E794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E794B" w:rsidRDefault="002E794B" w:rsidP="002E794B">
      <w:pPr>
        <w:widowControl w:val="0"/>
        <w:rPr>
          <w:rFonts w:cs="Arial"/>
          <w:sz w:val="20"/>
        </w:rPr>
      </w:pPr>
    </w:p>
    <w:p w:rsidR="002E794B" w:rsidRDefault="002E794B" w:rsidP="002E794B">
      <w:pPr>
        <w:widowControl w:val="0"/>
        <w:rPr>
          <w:rFonts w:cs="Arial"/>
          <w:sz w:val="20"/>
        </w:rPr>
      </w:pPr>
    </w:p>
    <w:p w:rsidR="002E794B" w:rsidRDefault="002E794B" w:rsidP="002E794B">
      <w:pPr>
        <w:widowControl w:val="0"/>
        <w:rPr>
          <w:rFonts w:cs="Arial"/>
        </w:rPr>
      </w:pPr>
    </w:p>
    <w:p w:rsidR="002E794B" w:rsidRDefault="002E794B" w:rsidP="002E794B">
      <w:pPr>
        <w:pStyle w:val="Capa"/>
        <w:rPr>
          <w:color w:val="FF9900"/>
        </w:rPr>
      </w:pPr>
      <w:r>
        <w:t>SINDRAPE</w:t>
      </w:r>
    </w:p>
    <w:p w:rsidR="002E794B" w:rsidRDefault="002E794B" w:rsidP="002E794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E794B" w:rsidRPr="002E794B" w:rsidRDefault="002E794B" w:rsidP="002E794B">
      <w:pPr>
        <w:widowControl w:val="0"/>
        <w:rPr>
          <w:color w:val="000080"/>
        </w:rPr>
      </w:pPr>
    </w:p>
    <w:p w:rsidR="002E794B" w:rsidRPr="002E794B" w:rsidRDefault="002E794B" w:rsidP="002E794B">
      <w:pPr>
        <w:widowControl w:val="0"/>
        <w:jc w:val="right"/>
        <w:rPr>
          <w:rFonts w:cs="Arial"/>
          <w:b/>
          <w:bCs/>
          <w:color w:val="000080"/>
        </w:rPr>
      </w:pPr>
    </w:p>
    <w:p w:rsidR="002E794B" w:rsidRDefault="002E794B" w:rsidP="002E794B">
      <w:pPr>
        <w:pStyle w:val="Capa"/>
        <w:rPr>
          <w:rFonts w:cs="Arial"/>
        </w:rPr>
      </w:pPr>
      <w:r>
        <w:t>UCS0378</w:t>
      </w:r>
      <w:r w:rsidR="00A700CE">
        <w:t xml:space="preserve"> </w:t>
      </w:r>
      <w:r>
        <w:t>– Reajustar Valores Fixos de Decisões Judiciais</w:t>
      </w:r>
    </w:p>
    <w:p w:rsidR="002E794B" w:rsidRDefault="002E794B" w:rsidP="002E794B">
      <w:pPr>
        <w:widowControl w:val="0"/>
      </w:pPr>
    </w:p>
    <w:p w:rsidR="002E794B" w:rsidRDefault="002E794B" w:rsidP="002E794B">
      <w:pPr>
        <w:widowControl w:val="0"/>
        <w:rPr>
          <w:rFonts w:cs="Arial"/>
        </w:rPr>
      </w:pPr>
    </w:p>
    <w:p w:rsidR="002E794B" w:rsidRDefault="002E794B" w:rsidP="002E794B">
      <w:pPr>
        <w:widowControl w:val="0"/>
      </w:pPr>
    </w:p>
    <w:p w:rsidR="002E794B" w:rsidRDefault="002E794B" w:rsidP="002E794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2E794B" w:rsidRPr="002E794B" w:rsidRDefault="002E794B" w:rsidP="002E794B">
      <w:pPr>
        <w:pStyle w:val="Corpodetexto3"/>
        <w:widowControl w:val="0"/>
        <w:spacing w:after="0"/>
        <w:rPr>
          <w:rFonts w:cs="Arial"/>
        </w:rPr>
      </w:pPr>
      <w:r w:rsidRPr="002E794B">
        <w:rPr>
          <w:rFonts w:cs="Arial"/>
        </w:rPr>
        <w:lastRenderedPageBreak/>
        <w:t>Histórico de Revisões</w:t>
      </w:r>
    </w:p>
    <w:p w:rsidR="002E794B" w:rsidRDefault="002E794B" w:rsidP="002E794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E794B" w:rsidTr="002E794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94B" w:rsidRDefault="002E794B" w:rsidP="002E794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94B" w:rsidRDefault="002E794B" w:rsidP="002E794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94B" w:rsidRDefault="002E794B" w:rsidP="002E794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94B" w:rsidRDefault="002E794B" w:rsidP="002E794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E794B" w:rsidTr="002E794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94B" w:rsidRDefault="002E794B" w:rsidP="002E794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23/01/2009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94B" w:rsidRDefault="002E794B" w:rsidP="002E794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94B" w:rsidRDefault="002E794B" w:rsidP="002E794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94B" w:rsidRDefault="002E794B" w:rsidP="002E794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Líliane Frez</w:t>
            </w:r>
          </w:p>
        </w:tc>
      </w:tr>
    </w:tbl>
    <w:p w:rsidR="002E794B" w:rsidRDefault="002E794B" w:rsidP="002E794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E794B" w:rsidRPr="002E794B" w:rsidRDefault="002E794B" w:rsidP="002E794B">
      <w:pPr>
        <w:pStyle w:val="Corpodetexto3"/>
        <w:widowControl w:val="0"/>
        <w:spacing w:after="0"/>
        <w:jc w:val="left"/>
        <w:rPr>
          <w:rFonts w:cs="Arial"/>
        </w:rPr>
      </w:pPr>
      <w:r w:rsidRPr="002E794B">
        <w:rPr>
          <w:rFonts w:cs="Arial"/>
        </w:rPr>
        <w:lastRenderedPageBreak/>
        <w:t>Índice</w:t>
      </w:r>
    </w:p>
    <w:p w:rsidR="002E794B" w:rsidRPr="002E794B" w:rsidRDefault="002E794B" w:rsidP="002E794B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A700CE" w:rsidRDefault="002E794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7576" w:history="1">
        <w:r w:rsidR="00A700CE" w:rsidRPr="00A47275">
          <w:rPr>
            <w:rStyle w:val="Hyperlink"/>
            <w:noProof/>
          </w:rPr>
          <w:t>1.</w:t>
        </w:r>
        <w:r w:rsidR="00A700C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700CE" w:rsidRPr="00A47275">
          <w:rPr>
            <w:rStyle w:val="Hyperlink"/>
            <w:noProof/>
          </w:rPr>
          <w:t>Pacote/Caso de Uso</w:t>
        </w:r>
        <w:r w:rsidR="00A700CE">
          <w:rPr>
            <w:noProof/>
            <w:webHidden/>
          </w:rPr>
          <w:tab/>
        </w:r>
        <w:r w:rsidR="00A700CE">
          <w:rPr>
            <w:noProof/>
            <w:webHidden/>
          </w:rPr>
          <w:fldChar w:fldCharType="begin"/>
        </w:r>
        <w:r w:rsidR="00A700CE">
          <w:rPr>
            <w:noProof/>
            <w:webHidden/>
          </w:rPr>
          <w:instrText xml:space="preserve"> PAGEREF _Toc404607576 \h </w:instrText>
        </w:r>
        <w:r w:rsidR="00A700CE">
          <w:rPr>
            <w:noProof/>
            <w:webHidden/>
          </w:rPr>
        </w:r>
        <w:r w:rsidR="00A700CE">
          <w:rPr>
            <w:noProof/>
            <w:webHidden/>
          </w:rPr>
          <w:fldChar w:fldCharType="separate"/>
        </w:r>
        <w:r w:rsidR="00A700CE">
          <w:rPr>
            <w:noProof/>
            <w:webHidden/>
          </w:rPr>
          <w:t>4</w:t>
        </w:r>
        <w:r w:rsidR="00A700CE">
          <w:rPr>
            <w:noProof/>
            <w:webHidden/>
          </w:rPr>
          <w:fldChar w:fldCharType="end"/>
        </w:r>
      </w:hyperlink>
    </w:p>
    <w:p w:rsidR="00A700CE" w:rsidRDefault="00A700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577" w:history="1">
        <w:r w:rsidRPr="00A4727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727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0CE" w:rsidRDefault="00A700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578" w:history="1">
        <w:r w:rsidRPr="00A4727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727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0CE" w:rsidRDefault="00A700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579" w:history="1">
        <w:r w:rsidRPr="00A4727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727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0CE" w:rsidRDefault="00A700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580" w:history="1">
        <w:r w:rsidRPr="00A4727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727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0CE" w:rsidRDefault="00A700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581" w:history="1">
        <w:r w:rsidRPr="00A4727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727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0CE" w:rsidRDefault="00A700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582" w:history="1">
        <w:r w:rsidRPr="00A4727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727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700CE" w:rsidRDefault="00A700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583" w:history="1">
        <w:r w:rsidRPr="00A4727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727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00CE" w:rsidRDefault="00A700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584" w:history="1">
        <w:r w:rsidRPr="00A4727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7275">
          <w:rPr>
            <w:rStyle w:val="Hyperlink"/>
            <w:noProof/>
          </w:rPr>
          <w:t>Incluir Reajuste de valores fixos determinados por decisão judicial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00CE" w:rsidRDefault="00A700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585" w:history="1">
        <w:r w:rsidRPr="00A4727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727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00CE" w:rsidRDefault="00A700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586" w:history="1">
        <w:r w:rsidRPr="00A4727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7275">
          <w:rPr>
            <w:rStyle w:val="Hyperlink"/>
            <w:noProof/>
          </w:rPr>
          <w:t>Excluir Reajuste de valores fixos determinados por decisão judicial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00CE" w:rsidRDefault="00A700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587" w:history="1">
        <w:r w:rsidRPr="00A4727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727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00CE" w:rsidRDefault="00A700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588" w:history="1">
        <w:r w:rsidRPr="00A4727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7275">
          <w:rPr>
            <w:rStyle w:val="Hyperlink"/>
            <w:noProof/>
          </w:rPr>
          <w:t>Listar Reajuste de valores fixos determinados por decisão judicial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00CE" w:rsidRDefault="00A700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589" w:history="1">
        <w:r w:rsidRPr="00A4727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727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00CE" w:rsidRDefault="00A700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590" w:history="1">
        <w:r w:rsidRPr="00A47275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7275">
          <w:rPr>
            <w:rStyle w:val="Hyperlink"/>
            <w:noProof/>
          </w:rPr>
          <w:t>Fluxo Alternativo – Detalhar reajuste de valores fixos determinados por decisão judicial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00CE" w:rsidRDefault="00A700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591" w:history="1">
        <w:r w:rsidRPr="00A4727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7275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00CE" w:rsidRDefault="00A700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592" w:history="1">
        <w:r w:rsidRPr="00A47275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727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794B" w:rsidRDefault="002E794B" w:rsidP="002E794B">
      <w:pPr>
        <w:pStyle w:val="Sumrio1"/>
      </w:pPr>
      <w:r>
        <w:fldChar w:fldCharType="end"/>
      </w:r>
    </w:p>
    <w:p w:rsidR="002E794B" w:rsidRDefault="002E794B" w:rsidP="002E794B">
      <w:pPr>
        <w:widowControl w:val="0"/>
        <w:rPr>
          <w:rFonts w:cs="Arial"/>
          <w:b/>
          <w:bCs/>
          <w:color w:val="000000"/>
        </w:rPr>
      </w:pPr>
    </w:p>
    <w:p w:rsidR="002E794B" w:rsidRDefault="002E794B" w:rsidP="002E794B">
      <w:pPr>
        <w:pStyle w:val="Heading"/>
        <w:rPr>
          <w:rFonts w:cs="Arial"/>
          <w:szCs w:val="24"/>
          <w:lang w:val="pt-BR"/>
        </w:rPr>
      </w:pPr>
    </w:p>
    <w:p w:rsidR="002E794B" w:rsidRDefault="002E794B" w:rsidP="002E794B">
      <w:pPr>
        <w:pStyle w:val="Heading"/>
      </w:pPr>
    </w:p>
    <w:p w:rsidR="002E794B" w:rsidRDefault="002E794B" w:rsidP="002E794B">
      <w:pPr>
        <w:pStyle w:val="Heading"/>
        <w:jc w:val="center"/>
      </w:pPr>
    </w:p>
    <w:p w:rsidR="002E794B" w:rsidRDefault="002E794B" w:rsidP="002E794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E794B" w:rsidRDefault="002E794B" w:rsidP="002E794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07576"/>
      <w:r>
        <w:lastRenderedPageBreak/>
        <w:t>Pacote/Caso de Uso</w:t>
      </w:r>
      <w:bookmarkEnd w:id="1"/>
    </w:p>
    <w:p w:rsidR="002E794B" w:rsidRDefault="002E794B" w:rsidP="002E794B"/>
    <w:p w:rsidR="002E794B" w:rsidRDefault="002E794B" w:rsidP="002E794B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Reajustar Valores Fixos de Decisões Judiciais</w:t>
      </w:r>
    </w:p>
    <w:p w:rsidR="002E794B" w:rsidRDefault="002E794B" w:rsidP="002E794B">
      <w:pPr>
        <w:widowControl w:val="0"/>
        <w:ind w:left="902"/>
        <w:rPr>
          <w:rFonts w:cs="Arial"/>
          <w:b/>
          <w:bCs/>
          <w:color w:val="FF0000"/>
        </w:rPr>
      </w:pPr>
    </w:p>
    <w:p w:rsidR="002E794B" w:rsidRDefault="002E794B" w:rsidP="00A700CE">
      <w:pPr>
        <w:pStyle w:val="Ttulo2"/>
      </w:pPr>
      <w:bookmarkStart w:id="2" w:name="_Toc404607577"/>
      <w:r>
        <w:t>Descrição</w:t>
      </w:r>
      <w:bookmarkEnd w:id="2"/>
    </w:p>
    <w:p w:rsidR="002E794B" w:rsidRDefault="002E794B" w:rsidP="002E794B">
      <w:pPr>
        <w:pStyle w:val="Recuodecorpodetexto2"/>
        <w:widowControl w:val="0"/>
        <w:ind w:left="1620" w:firstLine="0"/>
        <w:rPr>
          <w:sz w:val="24"/>
        </w:rPr>
      </w:pPr>
    </w:p>
    <w:p w:rsidR="002E794B" w:rsidRDefault="002E794B" w:rsidP="002E794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reajuste de valores fixos de decisões judiciais.</w:t>
      </w:r>
    </w:p>
    <w:p w:rsidR="002E794B" w:rsidRDefault="002E794B" w:rsidP="002E794B">
      <w:pPr>
        <w:pStyle w:val="Recuodecorpodetexto2"/>
        <w:widowControl w:val="0"/>
        <w:ind w:left="1620" w:firstLine="0"/>
        <w:rPr>
          <w:sz w:val="24"/>
        </w:rPr>
      </w:pPr>
    </w:p>
    <w:p w:rsidR="002E794B" w:rsidRDefault="002E794B" w:rsidP="00A700CE">
      <w:pPr>
        <w:pStyle w:val="Ttulo2"/>
      </w:pPr>
      <w:bookmarkStart w:id="3" w:name="_Toc404607578"/>
      <w:r>
        <w:t>Requisitos atendidos</w:t>
      </w:r>
      <w:bookmarkEnd w:id="3"/>
    </w:p>
    <w:p w:rsidR="002E794B" w:rsidRDefault="002E794B" w:rsidP="002E794B"/>
    <w:p w:rsidR="002E794B" w:rsidRDefault="002E794B" w:rsidP="002E794B">
      <w:pPr>
        <w:pStyle w:val="Recuodecorpodetexto"/>
        <w:ind w:left="1260"/>
      </w:pPr>
      <w:r>
        <w:t>R16 – 2.3.16.2 Reajuste de valores fixos determinados por decisões judiciais</w:t>
      </w:r>
    </w:p>
    <w:p w:rsidR="002E794B" w:rsidRDefault="002E794B" w:rsidP="002E794B"/>
    <w:p w:rsidR="002E794B" w:rsidRDefault="002E794B" w:rsidP="002E794B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07579"/>
      <w:r>
        <w:t>Conceito</w:t>
      </w:r>
      <w:bookmarkEnd w:id="4"/>
      <w:r>
        <w:tab/>
      </w:r>
    </w:p>
    <w:p w:rsidR="002E794B" w:rsidRDefault="002E794B" w:rsidP="002E794B"/>
    <w:p w:rsidR="002E794B" w:rsidRDefault="002E794B" w:rsidP="00A700CE">
      <w:pPr>
        <w:pStyle w:val="Ttulo2"/>
      </w:pPr>
      <w:bookmarkStart w:id="5" w:name="_Toc404607580"/>
      <w:r>
        <w:t>Conceitos principais</w:t>
      </w:r>
      <w:bookmarkEnd w:id="5"/>
    </w:p>
    <w:p w:rsidR="002E794B" w:rsidRDefault="00A700CE" w:rsidP="002E794B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2E794B" w:rsidRDefault="002E794B" w:rsidP="002E794B">
      <w:pPr>
        <w:rPr>
          <w:rFonts w:cs="Arial"/>
        </w:rPr>
      </w:pPr>
    </w:p>
    <w:p w:rsidR="002E794B" w:rsidRDefault="002E794B" w:rsidP="00A700CE">
      <w:pPr>
        <w:pStyle w:val="Ttulo2"/>
      </w:pPr>
      <w:bookmarkStart w:id="6" w:name="_Toc404607581"/>
      <w:r>
        <w:t>Conceitos associados</w:t>
      </w:r>
      <w:bookmarkEnd w:id="6"/>
    </w:p>
    <w:p w:rsidR="00A700CE" w:rsidRDefault="00A700CE" w:rsidP="00A700CE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2E794B" w:rsidRDefault="002E794B" w:rsidP="002E794B">
      <w:pPr>
        <w:pStyle w:val="Cabealho"/>
        <w:rPr>
          <w:rFonts w:cs="Arial"/>
        </w:rPr>
      </w:pPr>
    </w:p>
    <w:p w:rsidR="002E794B" w:rsidRDefault="002E794B" w:rsidP="002E794B">
      <w:pPr>
        <w:rPr>
          <w:rFonts w:eastAsia="Arial Unicode MS"/>
        </w:rPr>
      </w:pPr>
    </w:p>
    <w:p w:rsidR="002E794B" w:rsidRDefault="002E794B" w:rsidP="002E794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07582"/>
      <w:r>
        <w:lastRenderedPageBreak/>
        <w:t>Diagrama</w:t>
      </w:r>
      <w:bookmarkEnd w:id="7"/>
    </w:p>
    <w:p w:rsidR="002E794B" w:rsidRDefault="002E794B" w:rsidP="002E794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E794B" w:rsidRDefault="002E794B" w:rsidP="002E794B">
      <w:pPr>
        <w:widowControl w:val="0"/>
        <w:jc w:val="center"/>
        <w:rPr>
          <w:rFonts w:cs="Arial"/>
        </w:rPr>
      </w:pPr>
    </w:p>
    <w:p w:rsidR="002E794B" w:rsidRDefault="00A700CE" w:rsidP="002E794B">
      <w:pPr>
        <w:widowControl w:val="0"/>
        <w:ind w:left="0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057775" cy="2686050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94B" w:rsidRDefault="002E794B" w:rsidP="002E794B">
      <w:pPr>
        <w:widowControl w:val="0"/>
        <w:jc w:val="center"/>
        <w:rPr>
          <w:rFonts w:cs="Arial"/>
        </w:rPr>
      </w:pPr>
    </w:p>
    <w:p w:rsidR="002E794B" w:rsidRDefault="002E794B" w:rsidP="002E794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07583"/>
      <w:r>
        <w:lastRenderedPageBreak/>
        <w:t>Casos de Uso</w:t>
      </w:r>
      <w:bookmarkEnd w:id="8"/>
    </w:p>
    <w:p w:rsidR="002E794B" w:rsidRDefault="002E794B" w:rsidP="00A700CE">
      <w:pPr>
        <w:pStyle w:val="Ttulo2"/>
      </w:pPr>
      <w:bookmarkStart w:id="9" w:name="_Toc404607584"/>
      <w:r>
        <w:t>Incluir Reajuste de valores fixos determinados por decisão judicial</w:t>
      </w:r>
      <w:bookmarkEnd w:id="9"/>
    </w:p>
    <w:p w:rsidR="002E794B" w:rsidRDefault="002E794B" w:rsidP="002E794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220380601"/>
      <w:bookmarkStart w:id="11" w:name="_Toc404607585"/>
      <w:r>
        <w:t>Fluxo Básico</w:t>
      </w:r>
      <w:bookmarkEnd w:id="10"/>
      <w:bookmarkEnd w:id="11"/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de manutenção de reajustes de valores fixos determinados por decisão judicial;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para incluir reajuste de valores fixos;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as informações para preenchimento;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preenche os dados necessários;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Incluir;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</w:rPr>
        <w:t>RGN2.1.69.15, RGN2.1.138.1</w:t>
      </w:r>
      <w:r>
        <w:t>);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realiza a inclusão do histórico de reajuste de valor fixo;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os pagamentos decorrentes de decisão judicial que sofrerão reajuste de valor conforme regras (</w:t>
      </w:r>
      <w:r>
        <w:rPr>
          <w:b/>
          <w:bCs w:val="0"/>
        </w:rPr>
        <w:t>RGN2.1.137.1</w:t>
      </w:r>
      <w:r>
        <w:t xml:space="preserve">, </w:t>
      </w:r>
      <w:r>
        <w:rPr>
          <w:b/>
          <w:bCs w:val="0"/>
        </w:rPr>
        <w:t>RGN2.1.137.2</w:t>
      </w:r>
      <w:r>
        <w:t>);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aplica a porcentagem de reajuste sobre o valor fixo dos pagamentos decorrentes de  decisão judicial identificados, incluindo uma nova vigência para estes pagamentos identificados com Referência Inicial igual à Referência informada e finalizando a vigência anterior com a Referência informada menos 1 (um) mês;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A nova vigência dos pagamentos deve conter os mesmos dados cadastrados na vigência anterior com o novo valor fixo reajustado e conter a associação com o histórico de reajuste de valor fixo;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2E794B" w:rsidRDefault="002E794B" w:rsidP="00A700CE">
      <w:pPr>
        <w:pStyle w:val="Ttulo2"/>
      </w:pPr>
      <w:bookmarkStart w:id="12" w:name="_Toc404607586"/>
      <w:r>
        <w:t>Excluir Reajuste de valores fixos determinados por decisão judicial</w:t>
      </w:r>
      <w:bookmarkEnd w:id="12"/>
    </w:p>
    <w:p w:rsidR="002E794B" w:rsidRDefault="002E794B" w:rsidP="002E794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607587"/>
      <w:r>
        <w:t>Fluxo Básico</w:t>
      </w:r>
      <w:bookmarkEnd w:id="13"/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o reajuste após executar a funcionalidade “Listar Reajuste de Valores Fixos determinados por decisão judicial”;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excluir o reajuste selecionado;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 regra definida (</w:t>
      </w:r>
      <w:r>
        <w:rPr>
          <w:b/>
          <w:bCs w:val="0"/>
        </w:rPr>
        <w:t>RGN2.1.69.15</w:t>
      </w:r>
      <w:r>
        <w:t>)</w:t>
      </w:r>
      <w:r>
        <w:rPr>
          <w:b/>
          <w:bCs w:val="0"/>
        </w:rPr>
        <w:t>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exclui todas as vigências de pagamento decorrente de decisão judicial associados ao histórico de </w:t>
      </w:r>
      <w:r>
        <w:lastRenderedPageBreak/>
        <w:t>reajuste de valor fixo excluído, reabrindo as vigências anteriores;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realiza a exclusão do histórico de reajuste de valor fixo;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2E794B" w:rsidRDefault="002E794B" w:rsidP="00A700CE">
      <w:pPr>
        <w:pStyle w:val="Ttulo2"/>
      </w:pPr>
      <w:bookmarkStart w:id="14" w:name="_Toc404607588"/>
      <w:r>
        <w:t>Listar Reajuste de valores fixos determinados por decisão judicial</w:t>
      </w:r>
      <w:bookmarkEnd w:id="14"/>
    </w:p>
    <w:p w:rsidR="002E794B" w:rsidRDefault="002E794B" w:rsidP="002E794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607589"/>
      <w:r>
        <w:t>Fluxo Básico</w:t>
      </w:r>
      <w:bookmarkEnd w:id="15"/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de manutenção de reajustes de valores fixos determinados por decisão judicial;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os filtros de pesquisa;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filtros que deseja;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Listar;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os reajustes cadastrados conforme filtros de pesquisa informados e em ordem decrescente pela Referência. </w:t>
      </w:r>
    </w:p>
    <w:p w:rsidR="002E794B" w:rsidRDefault="002E794B" w:rsidP="002E794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607590"/>
      <w:r>
        <w:t>Fluxo Alternativo – Detalhar reajuste de valores fixos determinados por decisão judicial</w:t>
      </w:r>
      <w:bookmarkEnd w:id="16"/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invoca o detalhamento do reajuste de valor fixo determinado por decisão judicial;</w:t>
      </w:r>
    </w:p>
    <w:p w:rsidR="002E794B" w:rsidRDefault="002E794B" w:rsidP="002E794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detalha o reajuste selecionado; </w:t>
      </w:r>
    </w:p>
    <w:p w:rsidR="002E794B" w:rsidRDefault="002E794B" w:rsidP="002E794B"/>
    <w:p w:rsidR="00A700CE" w:rsidRDefault="00A700CE" w:rsidP="002E794B"/>
    <w:p w:rsidR="002E794B" w:rsidRDefault="002E794B" w:rsidP="002E794B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404607591"/>
      <w:r>
        <w:t>Regras Gerais</w:t>
      </w:r>
      <w:bookmarkEnd w:id="17"/>
    </w:p>
    <w:p w:rsidR="002E794B" w:rsidRDefault="002E794B" w:rsidP="002E794B"/>
    <w:p w:rsidR="002E794B" w:rsidRDefault="002E794B" w:rsidP="002E794B">
      <w:pPr>
        <w:ind w:left="540"/>
        <w:rPr>
          <w:rFonts w:cs="Arial"/>
        </w:rPr>
      </w:pPr>
      <w:r>
        <w:rPr>
          <w:rFonts w:cs="Arial"/>
        </w:rPr>
        <w:t>As regras estão definidas no documento padrão Regras de Negócio.RN do módulo de Pagamento.</w:t>
      </w:r>
    </w:p>
    <w:p w:rsidR="002E794B" w:rsidRDefault="002E794B" w:rsidP="002E794B"/>
    <w:p w:rsidR="002E794B" w:rsidRDefault="002E794B" w:rsidP="002E794B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404607592"/>
      <w:r>
        <w:t>Anexos</w:t>
      </w:r>
      <w:bookmarkEnd w:id="18"/>
    </w:p>
    <w:p w:rsidR="002E794B" w:rsidRDefault="002E794B" w:rsidP="002E794B"/>
    <w:p w:rsidR="002E794B" w:rsidRDefault="002E794B" w:rsidP="002E794B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F41655" w:rsidRPr="002E794B" w:rsidRDefault="00F41655" w:rsidP="002E794B"/>
    <w:sectPr w:rsidR="00F41655" w:rsidRPr="002E794B" w:rsidSect="00A700CE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426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794B" w:rsidRDefault="002E794B" w:rsidP="002908D9">
      <w:r>
        <w:separator/>
      </w:r>
    </w:p>
  </w:endnote>
  <w:endnote w:type="continuationSeparator" w:id="0">
    <w:p w:rsidR="002E794B" w:rsidRDefault="002E794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700CE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E794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700C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700CE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E794B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E794B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700CE" w:rsidRPr="00A700CE">
            <w:rPr>
              <w:b/>
              <w:sz w:val="20"/>
              <w:szCs w:val="20"/>
            </w:rPr>
            <w:t>UCS0378 – Reajustar Valores Fixos de Decisões Judiciais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BE98BC8" wp14:editId="29A460EF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794B" w:rsidRDefault="002E794B" w:rsidP="002908D9">
      <w:r>
        <w:separator/>
      </w:r>
    </w:p>
  </w:footnote>
  <w:footnote w:type="continuationSeparator" w:id="0">
    <w:p w:rsidR="002E794B" w:rsidRDefault="002E794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700CE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B5D151B" wp14:editId="6CFF97A7">
          <wp:simplePos x="0" y="0"/>
          <wp:positionH relativeFrom="column">
            <wp:posOffset>4219575</wp:posOffset>
          </wp:positionH>
          <wp:positionV relativeFrom="paragraph">
            <wp:posOffset>-43180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469E2C5" wp14:editId="0D2D7836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4695E86" wp14:editId="795C0947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5ADCD763" wp14:editId="653FCEB3">
          <wp:simplePos x="0" y="0"/>
          <wp:positionH relativeFrom="column">
            <wp:posOffset>4714875</wp:posOffset>
          </wp:positionH>
          <wp:positionV relativeFrom="paragraph">
            <wp:posOffset>-140335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99141CA4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94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2E794B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700CE"/>
    <w:rsid w:val="00A92AC7"/>
    <w:rsid w:val="00AC3B1F"/>
    <w:rsid w:val="00AD3724"/>
    <w:rsid w:val="00AD7490"/>
    <w:rsid w:val="00B15821"/>
    <w:rsid w:val="00B53128"/>
    <w:rsid w:val="00B575D3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794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E794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700CE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E794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E794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E794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E794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E794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E794B"/>
    <w:pPr>
      <w:ind w:left="0"/>
    </w:pPr>
  </w:style>
  <w:style w:type="paragraph" w:styleId="ndicedeilustraes">
    <w:name w:val="table of figures"/>
    <w:basedOn w:val="Normal"/>
    <w:next w:val="Normal"/>
    <w:semiHidden/>
    <w:rsid w:val="002E794B"/>
  </w:style>
  <w:style w:type="paragraph" w:styleId="Sumrio2">
    <w:name w:val="toc 2"/>
    <w:basedOn w:val="Normal"/>
    <w:next w:val="Normal"/>
    <w:autoRedefine/>
    <w:uiPriority w:val="39"/>
    <w:rsid w:val="002E794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E794B"/>
    <w:pPr>
      <w:ind w:left="480"/>
    </w:pPr>
  </w:style>
  <w:style w:type="character" w:styleId="Hyperlink">
    <w:name w:val="Hyperlink"/>
    <w:basedOn w:val="Fontepargpadro"/>
    <w:uiPriority w:val="99"/>
    <w:rsid w:val="002E794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E794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E794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E794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E794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E794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E794B"/>
    <w:rPr>
      <w:sz w:val="16"/>
    </w:rPr>
  </w:style>
  <w:style w:type="character" w:styleId="Nmerodepgina">
    <w:name w:val="page number"/>
    <w:basedOn w:val="Fontepargpadro"/>
    <w:rsid w:val="002E794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E794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E794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E794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E794B"/>
  </w:style>
  <w:style w:type="paragraph" w:styleId="Corpodetexto">
    <w:name w:val="Body Text"/>
    <w:basedOn w:val="Normal"/>
    <w:link w:val="CorpodetextoChar"/>
    <w:rsid w:val="002E794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E794B"/>
    <w:rPr>
      <w:rFonts w:eastAsia="Arial Unicode MS"/>
    </w:rPr>
  </w:style>
  <w:style w:type="paragraph" w:customStyle="1" w:styleId="tabletext">
    <w:name w:val="tabletext"/>
    <w:basedOn w:val="Normal"/>
    <w:rsid w:val="002E794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E794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E794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E794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E794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E794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E794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E794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E794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E794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794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E794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700CE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E794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E794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E794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E794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E794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E794B"/>
    <w:pPr>
      <w:ind w:left="0"/>
    </w:pPr>
  </w:style>
  <w:style w:type="paragraph" w:styleId="ndicedeilustraes">
    <w:name w:val="table of figures"/>
    <w:basedOn w:val="Normal"/>
    <w:next w:val="Normal"/>
    <w:semiHidden/>
    <w:rsid w:val="002E794B"/>
  </w:style>
  <w:style w:type="paragraph" w:styleId="Sumrio2">
    <w:name w:val="toc 2"/>
    <w:basedOn w:val="Normal"/>
    <w:next w:val="Normal"/>
    <w:autoRedefine/>
    <w:uiPriority w:val="39"/>
    <w:rsid w:val="002E794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E794B"/>
    <w:pPr>
      <w:ind w:left="480"/>
    </w:pPr>
  </w:style>
  <w:style w:type="character" w:styleId="Hyperlink">
    <w:name w:val="Hyperlink"/>
    <w:basedOn w:val="Fontepargpadro"/>
    <w:uiPriority w:val="99"/>
    <w:rsid w:val="002E794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E794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E794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E794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E794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E794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E794B"/>
    <w:rPr>
      <w:sz w:val="16"/>
    </w:rPr>
  </w:style>
  <w:style w:type="character" w:styleId="Nmerodepgina">
    <w:name w:val="page number"/>
    <w:basedOn w:val="Fontepargpadro"/>
    <w:rsid w:val="002E794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E794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E794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E794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E794B"/>
  </w:style>
  <w:style w:type="paragraph" w:styleId="Corpodetexto">
    <w:name w:val="Body Text"/>
    <w:basedOn w:val="Normal"/>
    <w:link w:val="CorpodetextoChar"/>
    <w:rsid w:val="002E794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E794B"/>
    <w:rPr>
      <w:rFonts w:eastAsia="Arial Unicode MS"/>
    </w:rPr>
  </w:style>
  <w:style w:type="paragraph" w:customStyle="1" w:styleId="tabletext">
    <w:name w:val="tabletext"/>
    <w:basedOn w:val="Normal"/>
    <w:rsid w:val="002E794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E794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E794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E794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E794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E794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E794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E794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E794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E794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85397F-BB01-485C-84D6-6CCE02834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7</TotalTime>
  <Pages>7</Pages>
  <Words>613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5031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2014-11-09T04:03:00Z</cp:lastPrinted>
  <dcterms:created xsi:type="dcterms:W3CDTF">2014-11-09T04:03:00Z</dcterms:created>
  <dcterms:modified xsi:type="dcterms:W3CDTF">2014-11-24T17:50:00Z</dcterms:modified>
</cp:coreProperties>
</file>