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2C6" w:rsidRDefault="008C62C6" w:rsidP="008C62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62C6" w:rsidRDefault="008C62C6" w:rsidP="008C62C6">
      <w:pPr>
        <w:widowControl w:val="0"/>
        <w:rPr>
          <w:rFonts w:cs="Arial"/>
          <w:sz w:val="20"/>
          <w:u w:val="single"/>
        </w:rPr>
      </w:pPr>
    </w:p>
    <w:p w:rsidR="008C62C6" w:rsidRDefault="008C62C6" w:rsidP="008C62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  <w:sz w:val="20"/>
        </w:rPr>
      </w:pPr>
    </w:p>
    <w:p w:rsidR="008C62C6" w:rsidRDefault="008C62C6" w:rsidP="008C62C6">
      <w:pPr>
        <w:widowControl w:val="0"/>
        <w:rPr>
          <w:rFonts w:cs="Arial"/>
        </w:rPr>
      </w:pPr>
    </w:p>
    <w:p w:rsidR="008C62C6" w:rsidRDefault="008C62C6" w:rsidP="008C62C6">
      <w:pPr>
        <w:pStyle w:val="Capa"/>
        <w:rPr>
          <w:color w:val="FF9900"/>
        </w:rPr>
      </w:pPr>
      <w:r>
        <w:t>SINDRAPE</w:t>
      </w:r>
    </w:p>
    <w:p w:rsidR="008C62C6" w:rsidRDefault="008C62C6" w:rsidP="008C62C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C62C6" w:rsidRPr="008C62C6" w:rsidRDefault="008C62C6" w:rsidP="008C62C6">
      <w:pPr>
        <w:widowControl w:val="0"/>
        <w:rPr>
          <w:color w:val="000080"/>
        </w:rPr>
      </w:pPr>
    </w:p>
    <w:p w:rsidR="008C62C6" w:rsidRPr="008C62C6" w:rsidRDefault="008C62C6" w:rsidP="008C62C6">
      <w:pPr>
        <w:widowControl w:val="0"/>
        <w:jc w:val="right"/>
        <w:rPr>
          <w:rFonts w:cs="Arial"/>
          <w:b/>
          <w:bCs/>
          <w:color w:val="000080"/>
        </w:rPr>
      </w:pPr>
    </w:p>
    <w:p w:rsidR="008C62C6" w:rsidRDefault="008C62C6" w:rsidP="008C62C6">
      <w:pPr>
        <w:pStyle w:val="Capa"/>
      </w:pPr>
      <w:r>
        <w:t>UCS0382 - Manter Registro de Isenção de IRRF</w:t>
      </w:r>
    </w:p>
    <w:p w:rsidR="008C62C6" w:rsidRDefault="008C62C6" w:rsidP="008C62C6">
      <w:pPr>
        <w:widowControl w:val="0"/>
        <w:rPr>
          <w:rFonts w:cs="Arial"/>
        </w:rPr>
      </w:pPr>
    </w:p>
    <w:p w:rsidR="008C62C6" w:rsidRDefault="008C62C6" w:rsidP="008C62C6">
      <w:pPr>
        <w:widowControl w:val="0"/>
      </w:pPr>
    </w:p>
    <w:p w:rsidR="008C62C6" w:rsidRDefault="008C62C6" w:rsidP="008C62C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C62C6" w:rsidRPr="008C62C6" w:rsidRDefault="008C62C6" w:rsidP="008C62C6">
      <w:pPr>
        <w:pStyle w:val="Corpodetexto3"/>
        <w:widowControl w:val="0"/>
        <w:spacing w:after="0"/>
        <w:rPr>
          <w:rFonts w:cs="Arial"/>
        </w:rPr>
      </w:pPr>
      <w:r w:rsidRPr="008C62C6">
        <w:rPr>
          <w:rFonts w:cs="Arial"/>
        </w:rPr>
        <w:lastRenderedPageBreak/>
        <w:t>Histórico de Revisões</w:t>
      </w:r>
    </w:p>
    <w:p w:rsidR="008C62C6" w:rsidRDefault="008C62C6" w:rsidP="008C62C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C62C6" w:rsidTr="008C62C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C62C6" w:rsidTr="008C62C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62C6" w:rsidRDefault="008C62C6" w:rsidP="008C62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8C62C6" w:rsidRDefault="008C62C6" w:rsidP="008C62C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C62C6" w:rsidRPr="008C62C6" w:rsidRDefault="008C62C6" w:rsidP="008C62C6">
      <w:pPr>
        <w:pStyle w:val="Corpodetexto3"/>
        <w:widowControl w:val="0"/>
        <w:spacing w:after="0"/>
        <w:jc w:val="left"/>
        <w:rPr>
          <w:rFonts w:cs="Arial"/>
        </w:rPr>
      </w:pPr>
      <w:r w:rsidRPr="008C62C6">
        <w:rPr>
          <w:rFonts w:cs="Arial"/>
        </w:rPr>
        <w:lastRenderedPageBreak/>
        <w:t>Índice</w:t>
      </w:r>
    </w:p>
    <w:p w:rsidR="008C62C6" w:rsidRPr="008C62C6" w:rsidRDefault="008C62C6" w:rsidP="008C62C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6347C" w:rsidRDefault="008C62C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8039" w:history="1">
        <w:r w:rsidR="00F6347C" w:rsidRPr="00D9183F">
          <w:rPr>
            <w:rStyle w:val="Hyperlink"/>
            <w:noProof/>
          </w:rPr>
          <w:t>1.</w:t>
        </w:r>
        <w:r w:rsidR="00F6347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6347C" w:rsidRPr="00D9183F">
          <w:rPr>
            <w:rStyle w:val="Hyperlink"/>
            <w:noProof/>
          </w:rPr>
          <w:t>Pacote/Caso de Uso</w:t>
        </w:r>
        <w:r w:rsidR="00F6347C">
          <w:rPr>
            <w:noProof/>
            <w:webHidden/>
          </w:rPr>
          <w:tab/>
        </w:r>
        <w:r w:rsidR="00F6347C">
          <w:rPr>
            <w:noProof/>
            <w:webHidden/>
          </w:rPr>
          <w:fldChar w:fldCharType="begin"/>
        </w:r>
        <w:r w:rsidR="00F6347C">
          <w:rPr>
            <w:noProof/>
            <w:webHidden/>
          </w:rPr>
          <w:instrText xml:space="preserve"> PAGEREF _Toc404608039 \h </w:instrText>
        </w:r>
        <w:r w:rsidR="00F6347C">
          <w:rPr>
            <w:noProof/>
            <w:webHidden/>
          </w:rPr>
        </w:r>
        <w:r w:rsidR="00F6347C">
          <w:rPr>
            <w:noProof/>
            <w:webHidden/>
          </w:rPr>
          <w:fldChar w:fldCharType="separate"/>
        </w:r>
        <w:r w:rsidR="00F6347C">
          <w:rPr>
            <w:noProof/>
            <w:webHidden/>
          </w:rPr>
          <w:t>4</w:t>
        </w:r>
        <w:r w:rsidR="00F6347C"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0" w:history="1">
        <w:r w:rsidRPr="00D9183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1" w:history="1">
        <w:r w:rsidRPr="00D9183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2" w:history="1">
        <w:r w:rsidRPr="00D9183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3" w:history="1">
        <w:r w:rsidRPr="00D9183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4" w:history="1">
        <w:r w:rsidRPr="00D9183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5" w:history="1">
        <w:r w:rsidRPr="00D9183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6" w:history="1">
        <w:r w:rsidRPr="00D9183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7" w:history="1">
        <w:r w:rsidRPr="00D9183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Incluir Registro de Isenção de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8" w:history="1">
        <w:r w:rsidRPr="00D9183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49" w:history="1">
        <w:r w:rsidRPr="00D9183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Alterar Registro de Isenção de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0" w:history="1">
        <w:r w:rsidRPr="00D9183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1" w:history="1">
        <w:r w:rsidRPr="00D9183F">
          <w:rPr>
            <w:rStyle w:val="Hyperlink"/>
            <w:strike/>
            <w:noProof/>
            <w:highlight w:val="yellow"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strike/>
            <w:noProof/>
            <w:highlight w:val="yellow"/>
          </w:rPr>
          <w:t>Fluxo alternativo –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2" w:history="1">
        <w:r w:rsidRPr="00D9183F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alternativo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3" w:history="1">
        <w:r w:rsidRPr="00D9183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Atestar/Cancelar ateste de Registro de Isenção de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4" w:history="1">
        <w:r w:rsidRPr="00D9183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básico – Atestar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5" w:history="1">
        <w:r w:rsidRPr="00D9183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alternativo – Cancelar ateste – substitui a partir do passo 4.3.1.2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6" w:history="1">
        <w:r w:rsidRPr="00D9183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Excluir Registro de Isenção de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7" w:history="1">
        <w:r w:rsidRPr="00D9183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8" w:history="1">
        <w:r w:rsidRPr="00D9183F">
          <w:rPr>
            <w:rStyle w:val="Hyperlink"/>
            <w:strike/>
            <w:noProof/>
            <w:highlight w:val="yellow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strike/>
            <w:noProof/>
            <w:highlight w:val="yellow"/>
          </w:rPr>
          <w:t>Fluxo alternativo: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59" w:history="1">
        <w:r w:rsidRPr="00D9183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Listar Registro de Isenção de IRRF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60" w:history="1">
        <w:r w:rsidRPr="00D9183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61" w:history="1">
        <w:r w:rsidRPr="00D9183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347C" w:rsidRDefault="00F6347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062" w:history="1">
        <w:r w:rsidRPr="00D9183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183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62C6" w:rsidRDefault="008C62C6" w:rsidP="00F6347C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8C62C6" w:rsidRDefault="008C62C6" w:rsidP="008C62C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8039"/>
      <w:r>
        <w:lastRenderedPageBreak/>
        <w:t>Pacote/Caso de Uso</w:t>
      </w:r>
      <w:bookmarkEnd w:id="1"/>
    </w:p>
    <w:p w:rsidR="008C62C6" w:rsidRDefault="008C62C6" w:rsidP="008C62C6"/>
    <w:p w:rsidR="008C62C6" w:rsidRDefault="008C62C6" w:rsidP="008C62C6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Registro de Isenção de IRRF</w:t>
      </w:r>
    </w:p>
    <w:p w:rsidR="008C62C6" w:rsidRDefault="008C62C6" w:rsidP="008C62C6">
      <w:pPr>
        <w:widowControl w:val="0"/>
        <w:ind w:left="902"/>
        <w:rPr>
          <w:rFonts w:cs="Arial"/>
          <w:b/>
          <w:bCs/>
          <w:color w:val="FF0000"/>
        </w:rPr>
      </w:pPr>
    </w:p>
    <w:p w:rsidR="008C62C6" w:rsidRDefault="008C62C6" w:rsidP="00F6347C">
      <w:pPr>
        <w:pStyle w:val="Ttulo2"/>
      </w:pPr>
      <w:bookmarkStart w:id="2" w:name="_Toc404608040"/>
      <w:r>
        <w:t>Descrição</w:t>
      </w:r>
      <w:bookmarkEnd w:id="2"/>
    </w:p>
    <w:p w:rsidR="008C62C6" w:rsidRDefault="008C62C6" w:rsidP="008C62C6">
      <w:pPr>
        <w:pStyle w:val="Recuodecorpodetexto2"/>
        <w:widowControl w:val="0"/>
        <w:ind w:left="1620" w:firstLine="0"/>
        <w:rPr>
          <w:sz w:val="24"/>
        </w:rPr>
      </w:pPr>
    </w:p>
    <w:p w:rsidR="008C62C6" w:rsidRDefault="008C62C6" w:rsidP="008C62C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registros de isenção de IRRF.</w:t>
      </w:r>
    </w:p>
    <w:p w:rsidR="008C62C6" w:rsidRDefault="008C62C6" w:rsidP="008C62C6">
      <w:pPr>
        <w:pStyle w:val="Recuodecorpodetexto2"/>
        <w:widowControl w:val="0"/>
        <w:ind w:left="1620" w:firstLine="0"/>
        <w:rPr>
          <w:sz w:val="24"/>
        </w:rPr>
      </w:pPr>
    </w:p>
    <w:p w:rsidR="008C62C6" w:rsidRDefault="008C62C6" w:rsidP="00F6347C">
      <w:pPr>
        <w:pStyle w:val="Ttulo2"/>
      </w:pPr>
      <w:bookmarkStart w:id="3" w:name="_Toc404608041"/>
      <w:r>
        <w:t>Requisitos atendidos</w:t>
      </w:r>
      <w:bookmarkEnd w:id="3"/>
    </w:p>
    <w:p w:rsidR="008C62C6" w:rsidRDefault="008C62C6" w:rsidP="008C62C6"/>
    <w:p w:rsidR="008C62C6" w:rsidRDefault="008C62C6" w:rsidP="008C62C6">
      <w:pPr>
        <w:pStyle w:val="Recuodecorpodetexto"/>
        <w:ind w:left="1260"/>
      </w:pPr>
      <w:r>
        <w:t>R3 – 2.3.3 Manter Alíquotas do IRRF</w:t>
      </w:r>
    </w:p>
    <w:p w:rsidR="008C62C6" w:rsidRDefault="008C62C6" w:rsidP="008C62C6"/>
    <w:p w:rsidR="008C62C6" w:rsidRDefault="008C62C6" w:rsidP="008C62C6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8042"/>
      <w:r>
        <w:t>Conceito</w:t>
      </w:r>
      <w:bookmarkEnd w:id="4"/>
      <w:r>
        <w:tab/>
      </w:r>
    </w:p>
    <w:p w:rsidR="008C62C6" w:rsidRDefault="008C62C6" w:rsidP="008C62C6"/>
    <w:p w:rsidR="008C62C6" w:rsidRDefault="008C62C6" w:rsidP="00F6347C">
      <w:pPr>
        <w:pStyle w:val="Ttulo2"/>
      </w:pPr>
      <w:bookmarkStart w:id="5" w:name="_Toc404608043"/>
      <w:r>
        <w:t>Conceitos principais</w:t>
      </w:r>
      <w:bookmarkEnd w:id="5"/>
    </w:p>
    <w:p w:rsidR="008C62C6" w:rsidRDefault="008C62C6" w:rsidP="008C62C6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8C62C6" w:rsidRDefault="008C62C6" w:rsidP="008C62C6">
      <w:pPr>
        <w:rPr>
          <w:rFonts w:cs="Arial"/>
        </w:rPr>
      </w:pPr>
    </w:p>
    <w:p w:rsidR="008C62C6" w:rsidRDefault="008C62C6" w:rsidP="00F6347C">
      <w:pPr>
        <w:pStyle w:val="Ttulo2"/>
      </w:pPr>
      <w:bookmarkStart w:id="6" w:name="_Toc404608044"/>
      <w:r>
        <w:t>Conceitos associados</w:t>
      </w:r>
      <w:bookmarkEnd w:id="6"/>
    </w:p>
    <w:p w:rsidR="008C62C6" w:rsidRDefault="008C62C6" w:rsidP="008C62C6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8C62C6" w:rsidRDefault="008C62C6" w:rsidP="008C62C6">
      <w:pPr>
        <w:rPr>
          <w:rFonts w:eastAsia="Arial Unicode MS"/>
        </w:rPr>
      </w:pPr>
    </w:p>
    <w:p w:rsidR="008C62C6" w:rsidRDefault="008C62C6" w:rsidP="008C62C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8045"/>
      <w:r>
        <w:lastRenderedPageBreak/>
        <w:t>Diagrama</w:t>
      </w:r>
      <w:bookmarkEnd w:id="7"/>
    </w:p>
    <w:p w:rsidR="008C62C6" w:rsidRDefault="008C62C6" w:rsidP="008C62C6">
      <w:pPr>
        <w:widowControl w:val="0"/>
        <w:jc w:val="center"/>
        <w:rPr>
          <w:rFonts w:cs="Arial"/>
        </w:rPr>
      </w:pPr>
    </w:p>
    <w:p w:rsidR="008C62C6" w:rsidRDefault="00F6347C" w:rsidP="008C62C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1BC78C54" wp14:editId="515F43F6">
            <wp:extent cx="5295900" cy="3810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2C6" w:rsidRDefault="008C62C6" w:rsidP="008C62C6">
      <w:pPr>
        <w:widowControl w:val="0"/>
        <w:jc w:val="center"/>
        <w:rPr>
          <w:rFonts w:cs="Arial"/>
        </w:rPr>
      </w:pPr>
    </w:p>
    <w:p w:rsidR="008C62C6" w:rsidRDefault="008C62C6" w:rsidP="008C62C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8046"/>
      <w:r>
        <w:lastRenderedPageBreak/>
        <w:t>Casos de Uso</w:t>
      </w:r>
      <w:bookmarkEnd w:id="8"/>
    </w:p>
    <w:p w:rsidR="008C62C6" w:rsidRDefault="008C62C6" w:rsidP="00F6347C">
      <w:pPr>
        <w:pStyle w:val="Ttulo2"/>
      </w:pPr>
      <w:bookmarkStart w:id="9" w:name="_Toc214439557"/>
      <w:bookmarkStart w:id="10" w:name="_Toc404608047"/>
      <w:r>
        <w:t xml:space="preserve">Incluir Registro de Isenção de </w:t>
      </w:r>
      <w:bookmarkEnd w:id="9"/>
      <w:r>
        <w:t>IRRF</w:t>
      </w:r>
      <w:bookmarkEnd w:id="10"/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214439558"/>
      <w:bookmarkStart w:id="12" w:name="_Toc404608048"/>
      <w:r>
        <w:t>Fluxo Básico</w:t>
      </w:r>
      <w:bookmarkEnd w:id="11"/>
      <w:bookmarkEnd w:id="12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registro de isenção de IRRF;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para incluir registro;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de “Informações Principais”;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Matrícula;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(</w:t>
      </w:r>
      <w:r>
        <w:rPr>
          <w:b/>
          <w:bCs w:val="0"/>
        </w:rPr>
        <w:t>RGN2.1.13.1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demais dados necessários;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incluir;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definidas (</w:t>
      </w:r>
      <w:r>
        <w:rPr>
          <w:b/>
          <w:bCs w:val="0"/>
        </w:rPr>
        <w:t xml:space="preserve">RGN2.2.2.2, </w:t>
      </w:r>
      <w:r>
        <w:rPr>
          <w:b/>
          <w:bCs w:val="0"/>
          <w:strike/>
          <w:highlight w:val="yellow"/>
        </w:rPr>
        <w:t>RGN2.1.15.1</w:t>
      </w:r>
      <w:r>
        <w:rPr>
          <w:b/>
          <w:bCs w:val="0"/>
        </w:rPr>
        <w:t xml:space="preserve">, RGN2.1.13.2, RGN2.1.14.1, </w:t>
      </w:r>
      <w:r>
        <w:rPr>
          <w:b/>
          <w:bCs w:val="0"/>
          <w:highlight w:val="yellow"/>
        </w:rPr>
        <w:t>RGN2.1.17.1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o registro com a situação ‘Incluído’ e adiciona que não possui laudo pericial;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8C62C6" w:rsidRDefault="008C62C6" w:rsidP="008C62C6">
      <w:pPr>
        <w:pStyle w:val="Recuodecorpodetexto"/>
      </w:pPr>
    </w:p>
    <w:p w:rsidR="008C62C6" w:rsidRDefault="008C62C6" w:rsidP="00F6347C">
      <w:pPr>
        <w:pStyle w:val="Ttulo2"/>
      </w:pPr>
      <w:bookmarkStart w:id="13" w:name="_Toc214439559"/>
      <w:bookmarkStart w:id="14" w:name="_Toc404608049"/>
      <w:r>
        <w:t xml:space="preserve">Alterar </w:t>
      </w:r>
      <w:bookmarkEnd w:id="13"/>
      <w:r>
        <w:t>Registro de Isenção de IRRF</w:t>
      </w:r>
      <w:bookmarkEnd w:id="14"/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214439560"/>
      <w:bookmarkStart w:id="16" w:name="_Toc404608050"/>
      <w:r>
        <w:t>Fluxo Básico</w:t>
      </w:r>
      <w:bookmarkEnd w:id="15"/>
      <w:bookmarkEnd w:id="16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“Listar Registro de Isenção de IRRF”;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vigência e solicita a funcionalidade para alterar “Informações principais”;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dados cadastrados para a vigência selecionada;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os dados que deseja;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“Retificar última vigência”;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definidas (</w:t>
      </w:r>
      <w:r>
        <w:rPr>
          <w:b/>
          <w:bCs w:val="0"/>
        </w:rPr>
        <w:t xml:space="preserve">RGN2.1.16.1, RGN2.1.14.1, </w:t>
      </w:r>
      <w:r>
        <w:rPr>
          <w:b/>
          <w:bCs w:val="0"/>
          <w:strike/>
          <w:highlight w:val="yellow"/>
        </w:rPr>
        <w:t>RGN2.1.1.1</w:t>
      </w:r>
      <w:r>
        <w:rPr>
          <w:b/>
          <w:bCs w:val="0"/>
        </w:rPr>
        <w:t xml:space="preserve">, RGN2.1.12.8, </w:t>
      </w:r>
      <w:r>
        <w:rPr>
          <w:b/>
          <w:bCs w:val="0"/>
          <w:strike/>
          <w:highlight w:val="yellow"/>
        </w:rPr>
        <w:t>RGN2.1.1.2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</w:t>
      </w:r>
      <w:r>
        <w:rPr>
          <w:strike/>
          <w:highlight w:val="yellow"/>
        </w:rPr>
        <w:t xml:space="preserve">processa a regra </w:t>
      </w:r>
      <w:r>
        <w:rPr>
          <w:b/>
          <w:bCs w:val="0"/>
          <w:strike/>
          <w:highlight w:val="yellow"/>
        </w:rPr>
        <w:t>RGN2.1.4.1</w:t>
      </w:r>
      <w:r>
        <w:rPr>
          <w:strike/>
          <w:highlight w:val="yellow"/>
        </w:rPr>
        <w:t xml:space="preserve"> e</w:t>
      </w:r>
      <w:r>
        <w:t xml:space="preserve">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17" w:name="_Toc214439561"/>
      <w:bookmarkStart w:id="18" w:name="_Toc404608051"/>
      <w:r>
        <w:rPr>
          <w:strike/>
          <w:highlight w:val="yellow"/>
        </w:rPr>
        <w:t>Fluxo alternativo – Criar nova vigência – Substitui a partir do passo 4.2.1.5</w:t>
      </w:r>
      <w:bookmarkEnd w:id="17"/>
      <w:bookmarkEnd w:id="18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>O ator seleciona a opção “Criar nova vigência”;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>O ator submete a opção de alterar;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>O sistema valida as regras definidas (</w:t>
      </w:r>
      <w:r>
        <w:rPr>
          <w:b/>
          <w:bCs w:val="0"/>
          <w:strike/>
          <w:highlight w:val="yellow"/>
        </w:rPr>
        <w:t>RGN2.1.16.1, RGN2.1.14.1, RGN2.1.12.8, RGN2.1.2.1</w:t>
      </w:r>
      <w:r>
        <w:rPr>
          <w:strike/>
          <w:highlight w:val="yellow"/>
        </w:rP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 xml:space="preserve">O sistema processa a regra </w:t>
      </w:r>
      <w:r>
        <w:rPr>
          <w:b/>
          <w:bCs w:val="0"/>
          <w:strike/>
          <w:highlight w:val="yellow"/>
        </w:rPr>
        <w:t>RGN2.1.5.1, RGN2.1.5.2</w:t>
      </w:r>
      <w:r>
        <w:rPr>
          <w:strike/>
          <w:highlight w:val="yellow"/>
        </w:rPr>
        <w:t xml:space="preserve"> e exibe a mensagem </w:t>
      </w:r>
      <w:r>
        <w:rPr>
          <w:b/>
          <w:bCs w:val="0"/>
          <w:strike/>
          <w:highlight w:val="yellow"/>
        </w:rPr>
        <w:t>MSG0051</w:t>
      </w:r>
      <w:r>
        <w:rPr>
          <w:strike/>
          <w:highlight w:val="yellow"/>
        </w:rPr>
        <w:t xml:space="preserve"> ("Alteração efetuada com sucesso!").</w:t>
      </w:r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214439562"/>
      <w:bookmarkStart w:id="20" w:name="_Toc404608052"/>
      <w:r>
        <w:lastRenderedPageBreak/>
        <w:t>Fluxo alternativo – Finalizar vigência</w:t>
      </w:r>
      <w:bookmarkEnd w:id="19"/>
      <w:r>
        <w:t xml:space="preserve"> – substitui a partir do passo 4.2.1.2</w:t>
      </w:r>
      <w:bookmarkEnd w:id="20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vigência e solicita a funcionalidade para “Finalizar”;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dados cadastrados para a vigência selecionada;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a Referência Final;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finalizar;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definidas (</w:t>
      </w:r>
      <w:r>
        <w:rPr>
          <w:b/>
          <w:bCs w:val="0"/>
        </w:rPr>
        <w:t xml:space="preserve">RGN2.1.16.1, RGN2.2.2.2, RGN2.1.1.1(Parâmetro: finalizar), </w:t>
      </w:r>
      <w:r>
        <w:rPr>
          <w:b/>
          <w:bCs w:val="0"/>
          <w:highlight w:val="yellow"/>
        </w:rPr>
        <w:t>RGN2.1.12.14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C62C6" w:rsidRDefault="008C62C6" w:rsidP="008C62C6">
      <w:pPr>
        <w:pStyle w:val="Ttulo4"/>
        <w:numPr>
          <w:ilvl w:val="0"/>
          <w:numId w:val="0"/>
        </w:numPr>
        <w:ind w:left="1080"/>
      </w:pPr>
    </w:p>
    <w:p w:rsidR="008C62C6" w:rsidRDefault="008C62C6" w:rsidP="00F6347C">
      <w:pPr>
        <w:pStyle w:val="Ttulo2"/>
      </w:pPr>
      <w:bookmarkStart w:id="21" w:name="_Toc404608053"/>
      <w:r>
        <w:t>Atestar/Cancelar ateste de Registro de Isenção de IRRF</w:t>
      </w:r>
      <w:bookmarkEnd w:id="21"/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08054"/>
      <w:r>
        <w:t>Fluxo básico – Atestar</w:t>
      </w:r>
      <w:bookmarkEnd w:id="22"/>
      <w:r>
        <w:t xml:space="preserve"> 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“Listar Registro de Isenção de IRRF”;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vigência e solicita ‘Atestar’;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(“Deseja realmente atestar o registro da isenção de IRRF selecionado?”);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(</w:t>
      </w:r>
      <w:r>
        <w:rPr>
          <w:b/>
          <w:bCs w:val="0"/>
        </w:rPr>
        <w:t xml:space="preserve">RGN2.1.12.8, </w:t>
      </w:r>
      <w:r>
        <w:rPr>
          <w:b/>
          <w:bCs w:val="0"/>
          <w:highlight w:val="yellow"/>
        </w:rPr>
        <w:t>RGN2.1.18.1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a data do ateste;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situação do registro para ‘Atestado’;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608055"/>
      <w:r>
        <w:t>Fluxo alternativo – Cancelar ateste – substitui a partir do passo 4.3.1.2</w:t>
      </w:r>
      <w:bookmarkEnd w:id="23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uma vigência e solicita ‘Cancelar ateste’;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 mensagem (“Deseja realmente cancelar o ateste do registro da isenção de IRRF selecionado?”);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(</w:t>
      </w:r>
      <w:r>
        <w:rPr>
          <w:b/>
          <w:bCs w:val="0"/>
        </w:rPr>
        <w:t xml:space="preserve">RGN2.1.12.8, </w:t>
      </w:r>
      <w:r>
        <w:rPr>
          <w:b/>
          <w:bCs w:val="0"/>
          <w:highlight w:val="yellow"/>
        </w:rPr>
        <w:t>RGN2.1.18.1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exclui a data do ateste, caso esta última exista;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altera a situação do registro para ‘Não atestado’;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 w:rsidRPr="00F6347C">
        <w:rPr>
          <w:b/>
          <w:bCs w:val="0"/>
        </w:rPr>
        <w:t>MSG0051</w:t>
      </w:r>
      <w:r>
        <w:t xml:space="preserve"> ("Alteração efetuada com sucesso!").</w:t>
      </w:r>
    </w:p>
    <w:p w:rsidR="00F6347C" w:rsidRDefault="00F6347C">
      <w:pPr>
        <w:spacing w:line="240" w:lineRule="auto"/>
        <w:ind w:left="0"/>
        <w:jc w:val="left"/>
      </w:pPr>
      <w:r>
        <w:br w:type="page"/>
      </w:r>
    </w:p>
    <w:p w:rsidR="008C62C6" w:rsidRDefault="008C62C6" w:rsidP="00F6347C">
      <w:pPr>
        <w:pStyle w:val="Ttulo2"/>
      </w:pPr>
      <w:bookmarkStart w:id="24" w:name="_Toc214439563"/>
      <w:bookmarkStart w:id="25" w:name="_Toc404608056"/>
      <w:r>
        <w:lastRenderedPageBreak/>
        <w:t xml:space="preserve">Excluir </w:t>
      </w:r>
      <w:bookmarkEnd w:id="24"/>
      <w:r>
        <w:t>Registro de Isenção de IRRF</w:t>
      </w:r>
      <w:bookmarkEnd w:id="25"/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214439564"/>
      <w:bookmarkStart w:id="27" w:name="_Toc404608057"/>
      <w:r>
        <w:t>Fluxo Básico</w:t>
      </w:r>
      <w:bookmarkEnd w:id="26"/>
      <w:bookmarkEnd w:id="27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vigência após executar a funcionalidade de “Listar Registro de Isenção de IRRF”;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Excluir;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informações de acordo com as regras de negócio (</w:t>
      </w:r>
      <w:r>
        <w:rPr>
          <w:b/>
          <w:bCs w:val="0"/>
        </w:rPr>
        <w:t xml:space="preserve">RGN2.1.16.1, </w:t>
      </w:r>
      <w:r>
        <w:rPr>
          <w:b/>
          <w:bCs w:val="0"/>
          <w:strike/>
          <w:highlight w:val="yellow"/>
        </w:rPr>
        <w:t>RGN2.1.7.1</w:t>
      </w:r>
      <w:r>
        <w:rPr>
          <w:b/>
          <w:bCs w:val="0"/>
        </w:rPr>
        <w:t>, RGN2.1.12.8</w:t>
      </w:r>
      <w:r>
        <w:t>);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</w:t>
      </w:r>
      <w:r>
        <w:rPr>
          <w:strike/>
          <w:highlight w:val="yellow"/>
        </w:rPr>
        <w:t xml:space="preserve">verifica que </w:t>
      </w:r>
      <w:r>
        <w:rPr>
          <w:b/>
          <w:bCs w:val="0"/>
          <w:strike/>
          <w:highlight w:val="yellow"/>
        </w:rPr>
        <w:t>não</w:t>
      </w:r>
      <w:r>
        <w:rPr>
          <w:strike/>
          <w:highlight w:val="yellow"/>
        </w:rPr>
        <w:t xml:space="preserve"> se trata de única vigência e</w:t>
      </w:r>
      <w:r>
        <w:rPr>
          <w:highlight w:val="yellow"/>
        </w:rPr>
        <w:t>: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Exclui o histórico de registro de isenção de IRRF;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Exclui o conceito do registro de isenção de IRRF;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regra </w:t>
      </w:r>
      <w:r>
        <w:rPr>
          <w:b/>
          <w:bCs w:val="0"/>
        </w:rPr>
        <w:t>RGN2.1.9.1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8" w:name="_Toc214439565"/>
      <w:bookmarkStart w:id="29" w:name="_Toc404608058"/>
      <w:r>
        <w:rPr>
          <w:strike/>
          <w:highlight w:val="yellow"/>
        </w:rPr>
        <w:t>Fluxo alternativo: única vigência – substitui a partir do passo 4.3.1.4</w:t>
      </w:r>
      <w:bookmarkEnd w:id="28"/>
      <w:bookmarkEnd w:id="29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>O sistema verifica que se trata de única vigência e: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>Exclui o histórico de registro de isenção de IRRF;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  <w:highlight w:val="yellow"/>
        </w:rPr>
      </w:pPr>
      <w:r>
        <w:rPr>
          <w:strike/>
          <w:highlight w:val="yellow"/>
        </w:rPr>
        <w:t>Exclui o conceito do registro de isenção de IRRF;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strike/>
        </w:rPr>
      </w:pPr>
      <w:r>
        <w:rPr>
          <w:strike/>
          <w:highlight w:val="yellow"/>
        </w:rPr>
        <w:t xml:space="preserve">O sistema processa a regra e exibe a mensagem </w:t>
      </w:r>
      <w:r>
        <w:rPr>
          <w:b/>
          <w:bCs w:val="0"/>
          <w:strike/>
          <w:highlight w:val="yellow"/>
        </w:rPr>
        <w:t>MSG0052</w:t>
      </w:r>
      <w:r>
        <w:rPr>
          <w:strike/>
          <w:highlight w:val="yellow"/>
        </w:rPr>
        <w:t xml:space="preserve"> ("Exclusão efetuada com sucesso!").</w:t>
      </w:r>
    </w:p>
    <w:p w:rsidR="008C62C6" w:rsidRDefault="008C62C6" w:rsidP="008C62C6">
      <w:pPr>
        <w:pStyle w:val="Recuodecorpodetexto"/>
      </w:pPr>
    </w:p>
    <w:p w:rsidR="008C62C6" w:rsidRDefault="008C62C6" w:rsidP="00F6347C">
      <w:pPr>
        <w:pStyle w:val="Ttulo2"/>
      </w:pPr>
      <w:bookmarkStart w:id="30" w:name="_Toc214439566"/>
      <w:bookmarkStart w:id="31" w:name="_Toc404608059"/>
      <w:r>
        <w:t xml:space="preserve">Listar </w:t>
      </w:r>
      <w:bookmarkEnd w:id="30"/>
      <w:r>
        <w:t>Registro de Isenção de IRRF</w:t>
      </w:r>
      <w:bookmarkEnd w:id="31"/>
    </w:p>
    <w:p w:rsidR="008C62C6" w:rsidRDefault="008C62C6" w:rsidP="008C62C6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214439567"/>
      <w:bookmarkStart w:id="33" w:name="_Toc404608060"/>
      <w:r>
        <w:t>Fluxo Básico</w:t>
      </w:r>
      <w:bookmarkEnd w:id="32"/>
      <w:bookmarkEnd w:id="33"/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manutenção de registro de isenção de IRRF;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filtros de pesquisa; 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informa os dados necessários; 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listar;</w:t>
      </w:r>
    </w:p>
    <w:p w:rsidR="008C62C6" w:rsidRDefault="008C62C6" w:rsidP="008C62C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de acordo com os filtros informados, em ordem alfabética do nome do servidor e decrescente conforme referência inicial de vigências;</w:t>
      </w:r>
    </w:p>
    <w:p w:rsidR="008C62C6" w:rsidRDefault="008C62C6" w:rsidP="008C62C6">
      <w:pPr>
        <w:pStyle w:val="Recuodecorpodetexto"/>
      </w:pPr>
    </w:p>
    <w:p w:rsidR="008C62C6" w:rsidRDefault="008C62C6" w:rsidP="008C62C6">
      <w:pPr>
        <w:pStyle w:val="Ttulo1"/>
        <w:keepNext w:val="0"/>
        <w:widowControl w:val="0"/>
        <w:spacing w:before="0" w:line="240" w:lineRule="auto"/>
        <w:ind w:left="540" w:hanging="540"/>
      </w:pPr>
      <w:bookmarkStart w:id="34" w:name="_Toc214439568"/>
      <w:bookmarkStart w:id="35" w:name="_Toc404608061"/>
      <w:r>
        <w:t>Regras Gerais</w:t>
      </w:r>
      <w:bookmarkEnd w:id="34"/>
      <w:bookmarkEnd w:id="35"/>
    </w:p>
    <w:p w:rsidR="008C62C6" w:rsidRDefault="008C62C6" w:rsidP="008C62C6"/>
    <w:p w:rsidR="008C62C6" w:rsidRDefault="008C62C6" w:rsidP="008C62C6">
      <w:pPr>
        <w:widowControl w:val="0"/>
        <w:ind w:left="1080"/>
        <w:rPr>
          <w:rFonts w:cs="Arial"/>
        </w:rPr>
      </w:pPr>
      <w:r>
        <w:rPr>
          <w:rFonts w:cs="Arial"/>
        </w:rPr>
        <w:t>As regras de negócio e interface estão definidas no documento SIGRH – TRB – Regras  de Negócio.RN.</w:t>
      </w:r>
    </w:p>
    <w:p w:rsidR="008C62C6" w:rsidRDefault="008C62C6" w:rsidP="008C62C6">
      <w:pPr>
        <w:ind w:left="540"/>
      </w:pPr>
    </w:p>
    <w:p w:rsidR="008C62C6" w:rsidRDefault="008C62C6" w:rsidP="008C62C6">
      <w:pPr>
        <w:pStyle w:val="Ttulo1"/>
        <w:keepNext w:val="0"/>
        <w:widowControl w:val="0"/>
        <w:spacing w:before="0" w:line="240" w:lineRule="auto"/>
        <w:ind w:left="540" w:hanging="540"/>
      </w:pPr>
      <w:bookmarkStart w:id="36" w:name="_Toc404608062"/>
      <w:r>
        <w:t>Anexos</w:t>
      </w:r>
      <w:bookmarkEnd w:id="36"/>
    </w:p>
    <w:p w:rsidR="008C62C6" w:rsidRDefault="008C62C6" w:rsidP="008C62C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8C62C6" w:rsidSect="00F6347C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62C6" w:rsidRDefault="008C62C6" w:rsidP="002908D9">
      <w:r>
        <w:separator/>
      </w:r>
    </w:p>
  </w:endnote>
  <w:endnote w:type="continuationSeparator" w:id="0">
    <w:p w:rsidR="008C62C6" w:rsidRDefault="008C62C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6347C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C62C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C62C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C62C6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6347C" w:rsidRPr="00F6347C">
            <w:rPr>
              <w:b/>
              <w:sz w:val="20"/>
              <w:szCs w:val="20"/>
            </w:rPr>
            <w:t>UCS0382 - Manter Registro de Isenção de IRRF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64075DF" wp14:editId="61F6AE8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62C6" w:rsidRDefault="008C62C6" w:rsidP="002908D9">
      <w:r>
        <w:separator/>
      </w:r>
    </w:p>
  </w:footnote>
  <w:footnote w:type="continuationSeparator" w:id="0">
    <w:p w:rsidR="008C62C6" w:rsidRDefault="008C62C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F6347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7B34F8B9" wp14:editId="3A36D981">
          <wp:simplePos x="0" y="0"/>
          <wp:positionH relativeFrom="column">
            <wp:posOffset>4248150</wp:posOffset>
          </wp:positionH>
          <wp:positionV relativeFrom="paragraph">
            <wp:posOffset>-33655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542ECEC" wp14:editId="53880960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4DC9A71" wp14:editId="3E1DB07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408007B" wp14:editId="12071F1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0056447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2C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62C6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87ADB"/>
    <w:rsid w:val="00F071FA"/>
    <w:rsid w:val="00F41655"/>
    <w:rsid w:val="00F43BE9"/>
    <w:rsid w:val="00F6347C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62C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62C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6347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C62C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C62C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C62C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C62C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C62C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C62C6"/>
    <w:pPr>
      <w:ind w:left="0"/>
    </w:pPr>
  </w:style>
  <w:style w:type="paragraph" w:styleId="ndicedeilustraes">
    <w:name w:val="table of figures"/>
    <w:basedOn w:val="Normal"/>
    <w:next w:val="Normal"/>
    <w:semiHidden/>
    <w:rsid w:val="008C62C6"/>
  </w:style>
  <w:style w:type="paragraph" w:styleId="Sumrio2">
    <w:name w:val="toc 2"/>
    <w:basedOn w:val="Normal"/>
    <w:next w:val="Normal"/>
    <w:autoRedefine/>
    <w:uiPriority w:val="39"/>
    <w:rsid w:val="008C62C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C62C6"/>
    <w:pPr>
      <w:ind w:left="480"/>
    </w:pPr>
  </w:style>
  <w:style w:type="character" w:styleId="Hyperlink">
    <w:name w:val="Hyperlink"/>
    <w:basedOn w:val="Fontepargpadro"/>
    <w:uiPriority w:val="99"/>
    <w:rsid w:val="008C62C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C62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C62C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C62C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C62C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C62C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C62C6"/>
    <w:rPr>
      <w:sz w:val="16"/>
    </w:rPr>
  </w:style>
  <w:style w:type="character" w:styleId="Nmerodepgina">
    <w:name w:val="page number"/>
    <w:basedOn w:val="Fontepargpadro"/>
    <w:rsid w:val="008C62C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C62C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C62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C62C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C62C6"/>
  </w:style>
  <w:style w:type="paragraph" w:styleId="Corpodetexto">
    <w:name w:val="Body Text"/>
    <w:basedOn w:val="Normal"/>
    <w:link w:val="CorpodetextoChar"/>
    <w:rsid w:val="008C62C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C62C6"/>
    <w:rPr>
      <w:rFonts w:eastAsia="Arial Unicode MS"/>
    </w:rPr>
  </w:style>
  <w:style w:type="paragraph" w:customStyle="1" w:styleId="tabletext">
    <w:name w:val="tabletext"/>
    <w:basedOn w:val="Normal"/>
    <w:rsid w:val="008C62C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C62C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C62C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C62C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C62C6"/>
    <w:rPr>
      <w:rFonts w:ascii="Arial" w:hAnsi="Arial" w:cs="Arial"/>
      <w:szCs w:val="24"/>
    </w:rPr>
  </w:style>
  <w:style w:type="character" w:styleId="Refdecomentrio">
    <w:name w:val="annotation reference"/>
    <w:basedOn w:val="Fontepargpadro"/>
    <w:rsid w:val="008C62C6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8C62C6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8C62C6"/>
    <w:rPr>
      <w:lang w:eastAsia="en-US"/>
    </w:rPr>
  </w:style>
  <w:style w:type="paragraph" w:styleId="Corpodetexto2">
    <w:name w:val="Body Text 2"/>
    <w:basedOn w:val="Normal"/>
    <w:link w:val="Corpodetexto2Char"/>
    <w:rsid w:val="008C62C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C62C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C62C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C62C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C62C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62C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C62C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6347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C62C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C62C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C62C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C62C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C62C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C62C6"/>
    <w:pPr>
      <w:ind w:left="0"/>
    </w:pPr>
  </w:style>
  <w:style w:type="paragraph" w:styleId="ndicedeilustraes">
    <w:name w:val="table of figures"/>
    <w:basedOn w:val="Normal"/>
    <w:next w:val="Normal"/>
    <w:semiHidden/>
    <w:rsid w:val="008C62C6"/>
  </w:style>
  <w:style w:type="paragraph" w:styleId="Sumrio2">
    <w:name w:val="toc 2"/>
    <w:basedOn w:val="Normal"/>
    <w:next w:val="Normal"/>
    <w:autoRedefine/>
    <w:uiPriority w:val="39"/>
    <w:rsid w:val="008C62C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C62C6"/>
    <w:pPr>
      <w:ind w:left="480"/>
    </w:pPr>
  </w:style>
  <w:style w:type="character" w:styleId="Hyperlink">
    <w:name w:val="Hyperlink"/>
    <w:basedOn w:val="Fontepargpadro"/>
    <w:uiPriority w:val="99"/>
    <w:rsid w:val="008C62C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C62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C62C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C62C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C62C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C62C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C62C6"/>
    <w:rPr>
      <w:sz w:val="16"/>
    </w:rPr>
  </w:style>
  <w:style w:type="character" w:styleId="Nmerodepgina">
    <w:name w:val="page number"/>
    <w:basedOn w:val="Fontepargpadro"/>
    <w:rsid w:val="008C62C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C62C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C62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C62C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C62C6"/>
  </w:style>
  <w:style w:type="paragraph" w:styleId="Corpodetexto">
    <w:name w:val="Body Text"/>
    <w:basedOn w:val="Normal"/>
    <w:link w:val="CorpodetextoChar"/>
    <w:rsid w:val="008C62C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C62C6"/>
    <w:rPr>
      <w:rFonts w:eastAsia="Arial Unicode MS"/>
    </w:rPr>
  </w:style>
  <w:style w:type="paragraph" w:customStyle="1" w:styleId="tabletext">
    <w:name w:val="tabletext"/>
    <w:basedOn w:val="Normal"/>
    <w:rsid w:val="008C62C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C62C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C62C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C62C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C62C6"/>
    <w:rPr>
      <w:rFonts w:ascii="Arial" w:hAnsi="Arial" w:cs="Arial"/>
      <w:szCs w:val="24"/>
    </w:rPr>
  </w:style>
  <w:style w:type="character" w:styleId="Refdecomentrio">
    <w:name w:val="annotation reference"/>
    <w:basedOn w:val="Fontepargpadro"/>
    <w:rsid w:val="008C62C6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8C62C6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8C62C6"/>
    <w:rPr>
      <w:lang w:eastAsia="en-US"/>
    </w:rPr>
  </w:style>
  <w:style w:type="paragraph" w:styleId="Corpodetexto2">
    <w:name w:val="Body Text 2"/>
    <w:basedOn w:val="Normal"/>
    <w:link w:val="Corpodetexto2Char"/>
    <w:rsid w:val="008C62C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C62C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C62C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C62C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C62C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3162F-8B57-499F-B787-38F5C204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33</TotalTime>
  <Pages>8</Pages>
  <Words>1013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7626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2014-11-09T04:05:00Z</cp:lastPrinted>
  <dcterms:created xsi:type="dcterms:W3CDTF">2014-11-09T04:05:00Z</dcterms:created>
  <dcterms:modified xsi:type="dcterms:W3CDTF">2014-11-24T17:58:00Z</dcterms:modified>
</cp:coreProperties>
</file>