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A2B" w:rsidRDefault="006A1A2B" w:rsidP="006A1A2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A1A2B" w:rsidRDefault="006A1A2B" w:rsidP="006A1A2B">
      <w:pPr>
        <w:widowControl w:val="0"/>
        <w:rPr>
          <w:rFonts w:cs="Arial"/>
          <w:sz w:val="20"/>
        </w:rPr>
      </w:pPr>
    </w:p>
    <w:p w:rsidR="006A1A2B" w:rsidRDefault="006A1A2B" w:rsidP="006A1A2B">
      <w:pPr>
        <w:widowControl w:val="0"/>
        <w:rPr>
          <w:rFonts w:cs="Arial"/>
          <w:sz w:val="20"/>
        </w:rPr>
      </w:pPr>
    </w:p>
    <w:p w:rsidR="006A1A2B" w:rsidRDefault="006A1A2B" w:rsidP="006A1A2B">
      <w:pPr>
        <w:widowControl w:val="0"/>
        <w:rPr>
          <w:rFonts w:cs="Arial"/>
          <w:sz w:val="20"/>
        </w:rPr>
      </w:pPr>
    </w:p>
    <w:p w:rsidR="006A1A2B" w:rsidRDefault="006A1A2B" w:rsidP="006A1A2B">
      <w:pPr>
        <w:widowControl w:val="0"/>
        <w:rPr>
          <w:rFonts w:cs="Arial"/>
          <w:sz w:val="20"/>
        </w:rPr>
      </w:pPr>
    </w:p>
    <w:p w:rsidR="006A1A2B" w:rsidRDefault="006A1A2B" w:rsidP="006A1A2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A1A2B" w:rsidRDefault="006A1A2B" w:rsidP="006A1A2B">
      <w:pPr>
        <w:widowControl w:val="0"/>
        <w:rPr>
          <w:rFonts w:cs="Arial"/>
          <w:sz w:val="20"/>
          <w:u w:val="single"/>
        </w:rPr>
      </w:pPr>
    </w:p>
    <w:p w:rsidR="006A1A2B" w:rsidRDefault="006A1A2B" w:rsidP="006A1A2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A1A2B" w:rsidRDefault="006A1A2B" w:rsidP="006A1A2B">
      <w:pPr>
        <w:widowControl w:val="0"/>
        <w:rPr>
          <w:rFonts w:cs="Arial"/>
          <w:sz w:val="20"/>
        </w:rPr>
      </w:pPr>
    </w:p>
    <w:p w:rsidR="006A1A2B" w:rsidRDefault="006A1A2B" w:rsidP="006A1A2B">
      <w:pPr>
        <w:widowControl w:val="0"/>
        <w:rPr>
          <w:rFonts w:cs="Arial"/>
          <w:sz w:val="20"/>
        </w:rPr>
      </w:pPr>
    </w:p>
    <w:p w:rsidR="006A1A2B" w:rsidRDefault="006A1A2B" w:rsidP="006A1A2B">
      <w:pPr>
        <w:widowControl w:val="0"/>
        <w:rPr>
          <w:rFonts w:cs="Arial"/>
          <w:sz w:val="20"/>
        </w:rPr>
      </w:pPr>
    </w:p>
    <w:p w:rsidR="006A1A2B" w:rsidRDefault="006A1A2B" w:rsidP="006A1A2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A1A2B" w:rsidRDefault="006A1A2B" w:rsidP="006A1A2B">
      <w:pPr>
        <w:widowControl w:val="0"/>
        <w:rPr>
          <w:rFonts w:cs="Arial"/>
          <w:sz w:val="20"/>
        </w:rPr>
      </w:pPr>
    </w:p>
    <w:p w:rsidR="006A1A2B" w:rsidRDefault="006A1A2B" w:rsidP="006A1A2B">
      <w:pPr>
        <w:widowControl w:val="0"/>
        <w:rPr>
          <w:rFonts w:cs="Arial"/>
          <w:sz w:val="20"/>
        </w:rPr>
      </w:pPr>
    </w:p>
    <w:p w:rsidR="006A1A2B" w:rsidRDefault="006A1A2B" w:rsidP="006A1A2B">
      <w:pPr>
        <w:widowControl w:val="0"/>
        <w:rPr>
          <w:rFonts w:cs="Arial"/>
        </w:rPr>
      </w:pPr>
    </w:p>
    <w:p w:rsidR="006A1A2B" w:rsidRDefault="006A1A2B" w:rsidP="006A1A2B">
      <w:pPr>
        <w:pStyle w:val="Capa"/>
        <w:rPr>
          <w:color w:val="FF9900"/>
        </w:rPr>
      </w:pPr>
      <w:r>
        <w:t>SINDRAPE</w:t>
      </w:r>
    </w:p>
    <w:p w:rsidR="006A1A2B" w:rsidRDefault="006A1A2B" w:rsidP="006A1A2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6A1A2B" w:rsidRPr="006A1A2B" w:rsidRDefault="006A1A2B" w:rsidP="006A1A2B">
      <w:pPr>
        <w:widowControl w:val="0"/>
        <w:rPr>
          <w:color w:val="000080"/>
        </w:rPr>
      </w:pPr>
    </w:p>
    <w:p w:rsidR="006A1A2B" w:rsidRPr="006A1A2B" w:rsidRDefault="006A1A2B" w:rsidP="006A1A2B">
      <w:pPr>
        <w:widowControl w:val="0"/>
        <w:jc w:val="right"/>
        <w:rPr>
          <w:rFonts w:cs="Arial"/>
          <w:b/>
          <w:bCs/>
          <w:color w:val="000080"/>
        </w:rPr>
      </w:pPr>
    </w:p>
    <w:p w:rsidR="006A1A2B" w:rsidRDefault="006A1A2B" w:rsidP="006A1A2B">
      <w:pPr>
        <w:pStyle w:val="Capa"/>
      </w:pPr>
      <w:r>
        <w:t>UCS0654 - Manter Rubricas de Pagamento no Órgão</w:t>
      </w:r>
    </w:p>
    <w:p w:rsidR="006A1A2B" w:rsidRDefault="006A1A2B" w:rsidP="006A1A2B">
      <w:pPr>
        <w:widowControl w:val="0"/>
        <w:rPr>
          <w:rFonts w:cs="Arial"/>
        </w:rPr>
      </w:pPr>
    </w:p>
    <w:p w:rsidR="006A1A2B" w:rsidRDefault="006A1A2B" w:rsidP="006A1A2B">
      <w:pPr>
        <w:widowControl w:val="0"/>
      </w:pPr>
    </w:p>
    <w:p w:rsidR="006A1A2B" w:rsidRDefault="006A1A2B" w:rsidP="006A1A2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6A1A2B" w:rsidRPr="006A1A2B" w:rsidRDefault="006A1A2B" w:rsidP="006A1A2B">
      <w:pPr>
        <w:pStyle w:val="Corpodetexto3"/>
        <w:widowControl w:val="0"/>
        <w:spacing w:after="0"/>
        <w:rPr>
          <w:rFonts w:cs="Arial"/>
        </w:rPr>
      </w:pPr>
      <w:r w:rsidRPr="006A1A2B">
        <w:rPr>
          <w:rFonts w:cs="Arial"/>
        </w:rPr>
        <w:lastRenderedPageBreak/>
        <w:t>Histórico de Revisões</w:t>
      </w:r>
    </w:p>
    <w:p w:rsidR="006A1A2B" w:rsidRDefault="006A1A2B" w:rsidP="006A1A2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6A1A2B" w:rsidTr="006A1A2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A2B" w:rsidRDefault="006A1A2B" w:rsidP="006A1A2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A2B" w:rsidRDefault="006A1A2B" w:rsidP="006A1A2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A2B" w:rsidRDefault="006A1A2B" w:rsidP="006A1A2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A2B" w:rsidRDefault="006A1A2B" w:rsidP="006A1A2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6A1A2B" w:rsidTr="006A1A2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A2B" w:rsidRDefault="006A1A2B" w:rsidP="006A1A2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14/04/2008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A2B" w:rsidRDefault="006A1A2B" w:rsidP="006A1A2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A2B" w:rsidRDefault="006A1A2B" w:rsidP="006A1A2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A2B" w:rsidRDefault="006A1A2B" w:rsidP="006A1A2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6A1A2B" w:rsidRDefault="006A1A2B" w:rsidP="006A1A2B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6A1A2B" w:rsidRPr="006A1A2B" w:rsidRDefault="006A1A2B" w:rsidP="006A1A2B">
      <w:pPr>
        <w:pStyle w:val="Corpodetexto3"/>
        <w:widowControl w:val="0"/>
        <w:spacing w:after="0"/>
        <w:rPr>
          <w:rFonts w:cs="Arial"/>
        </w:rPr>
      </w:pPr>
      <w:r w:rsidRPr="006A1A2B">
        <w:rPr>
          <w:rFonts w:cs="Arial"/>
        </w:rPr>
        <w:lastRenderedPageBreak/>
        <w:t>Índice</w:t>
      </w:r>
    </w:p>
    <w:p w:rsidR="006A1A2B" w:rsidRPr="006A1A2B" w:rsidRDefault="006A1A2B" w:rsidP="006A1A2B">
      <w:pPr>
        <w:pStyle w:val="Corpodetexto3"/>
        <w:widowControl w:val="0"/>
        <w:spacing w:after="0"/>
        <w:rPr>
          <w:rFonts w:cs="Arial"/>
        </w:rPr>
      </w:pPr>
    </w:p>
    <w:p w:rsidR="00AD14C8" w:rsidRDefault="006A1A2B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06042" w:history="1">
        <w:r w:rsidR="00AD14C8" w:rsidRPr="009109BB">
          <w:rPr>
            <w:rStyle w:val="Hyperlink"/>
            <w:noProof/>
          </w:rPr>
          <w:t>1.</w:t>
        </w:r>
        <w:r w:rsidR="00AD14C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D14C8" w:rsidRPr="009109BB">
          <w:rPr>
            <w:rStyle w:val="Hyperlink"/>
            <w:noProof/>
          </w:rPr>
          <w:t>Pacote/Caso de Uso</w:t>
        </w:r>
        <w:r w:rsidR="00AD14C8">
          <w:rPr>
            <w:noProof/>
            <w:webHidden/>
          </w:rPr>
          <w:tab/>
        </w:r>
        <w:r w:rsidR="00AD14C8">
          <w:rPr>
            <w:noProof/>
            <w:webHidden/>
          </w:rPr>
          <w:fldChar w:fldCharType="begin"/>
        </w:r>
        <w:r w:rsidR="00AD14C8">
          <w:rPr>
            <w:noProof/>
            <w:webHidden/>
          </w:rPr>
          <w:instrText xml:space="preserve"> PAGEREF _Toc404606042 \h </w:instrText>
        </w:r>
        <w:r w:rsidR="00AD14C8">
          <w:rPr>
            <w:noProof/>
            <w:webHidden/>
          </w:rPr>
        </w:r>
        <w:r w:rsidR="00AD14C8">
          <w:rPr>
            <w:noProof/>
            <w:webHidden/>
          </w:rPr>
          <w:fldChar w:fldCharType="separate"/>
        </w:r>
        <w:r w:rsidR="00AD14C8">
          <w:rPr>
            <w:noProof/>
            <w:webHidden/>
          </w:rPr>
          <w:t>4</w:t>
        </w:r>
        <w:r w:rsidR="00AD14C8"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43" w:history="1">
        <w:r w:rsidRPr="009109B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44" w:history="1">
        <w:r w:rsidRPr="009109B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45" w:history="1">
        <w:r w:rsidRPr="009109B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46" w:history="1">
        <w:r w:rsidRPr="009109B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47" w:history="1">
        <w:r w:rsidRPr="009109B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48" w:history="1">
        <w:r w:rsidRPr="009109B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49" w:history="1">
        <w:r w:rsidRPr="009109B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50" w:history="1">
        <w:r w:rsidRPr="009109B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Incluir Rubrica de Pagamento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51" w:history="1">
        <w:r w:rsidRPr="009109B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52" w:history="1">
        <w:r w:rsidRPr="009109BB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Alterar Rubrica de Pagamento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53" w:history="1">
        <w:r w:rsidRPr="009109BB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54" w:history="1">
        <w:r w:rsidRPr="009109BB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Fluxo Alternativo: Rubricas que impedem o recebimento desta - item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  <w:bookmarkStart w:id="0" w:name="_GoBack"/>
      <w:bookmarkEnd w:id="0"/>
    </w:p>
    <w:p w:rsidR="00AD14C8" w:rsidRDefault="00AD14C8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55" w:history="1">
        <w:r w:rsidRPr="009109BB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Fluxo Alternativo: Rubricas exigidas para o recebimento desta - item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56" w:history="1">
        <w:r w:rsidRPr="009109BB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Fluxo Alternativo: Criar nova vigência – Substitui a partir do passo 4.2.1.7, 4.2.2.6 ou 4.2.3.6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57" w:history="1">
        <w:r w:rsidRPr="009109BB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Excluir Rubrica de Pagamento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58" w:history="1">
        <w:r w:rsidRPr="009109BB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59" w:history="1">
        <w:r w:rsidRPr="009109BB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Listar Rubricas de Pagamento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60" w:history="1">
        <w:r w:rsidRPr="009109BB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61" w:history="1">
        <w:r w:rsidRPr="009109B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62" w:history="1">
        <w:r w:rsidRPr="009109BB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D14C8" w:rsidRDefault="00AD14C8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63" w:history="1">
        <w:r w:rsidRPr="009109BB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109B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A1A2B" w:rsidRDefault="006A1A2B" w:rsidP="006A1A2B">
      <w:pPr>
        <w:pStyle w:val="Sumrio1"/>
      </w:pPr>
      <w:r>
        <w:fldChar w:fldCharType="end"/>
      </w:r>
    </w:p>
    <w:p w:rsidR="006A1A2B" w:rsidRDefault="006A1A2B" w:rsidP="006A1A2B">
      <w:pPr>
        <w:widowControl w:val="0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br w:type="page"/>
      </w:r>
    </w:p>
    <w:p w:rsidR="006A1A2B" w:rsidRDefault="006A1A2B" w:rsidP="006A1A2B">
      <w:pPr>
        <w:pStyle w:val="Heading"/>
        <w:rPr>
          <w:rFonts w:cs="Arial"/>
          <w:szCs w:val="24"/>
          <w:lang w:val="pt-BR"/>
        </w:rPr>
      </w:pPr>
    </w:p>
    <w:p w:rsidR="006A1A2B" w:rsidRDefault="006A1A2B" w:rsidP="006A1A2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06042"/>
      <w:r>
        <w:t>Pacote/Caso de Uso</w:t>
      </w:r>
      <w:bookmarkEnd w:id="1"/>
    </w:p>
    <w:p w:rsidR="006A1A2B" w:rsidRDefault="006A1A2B" w:rsidP="006A1A2B"/>
    <w:p w:rsidR="006A1A2B" w:rsidRDefault="006A1A2B" w:rsidP="006A1A2B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Rubricas de Pagamento do Órgão</w:t>
      </w:r>
    </w:p>
    <w:p w:rsidR="006A1A2B" w:rsidRDefault="006A1A2B" w:rsidP="006A1A2B">
      <w:pPr>
        <w:widowControl w:val="0"/>
        <w:ind w:left="902"/>
        <w:rPr>
          <w:rFonts w:cs="Arial"/>
          <w:b/>
          <w:bCs/>
          <w:color w:val="FF0000"/>
        </w:rPr>
      </w:pPr>
    </w:p>
    <w:p w:rsidR="006A1A2B" w:rsidRDefault="006A1A2B" w:rsidP="00AD14C8">
      <w:pPr>
        <w:pStyle w:val="Ttulo2"/>
      </w:pPr>
      <w:bookmarkStart w:id="2" w:name="_Toc404606043"/>
      <w:r>
        <w:t>Descrição</w:t>
      </w:r>
      <w:bookmarkEnd w:id="2"/>
    </w:p>
    <w:p w:rsidR="006A1A2B" w:rsidRDefault="006A1A2B" w:rsidP="006A1A2B">
      <w:pPr>
        <w:pStyle w:val="Recuodecorpodetexto2"/>
        <w:widowControl w:val="0"/>
        <w:ind w:left="1620" w:firstLine="0"/>
        <w:rPr>
          <w:sz w:val="24"/>
        </w:rPr>
      </w:pPr>
    </w:p>
    <w:p w:rsidR="006A1A2B" w:rsidRDefault="006A1A2B" w:rsidP="006A1A2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rubricas de pagamento no Órgão. Permite incluir, alterar, excluir e listar as rubricas de pagamento no Órgão cadastradas no sistema.</w:t>
      </w:r>
    </w:p>
    <w:p w:rsidR="006A1A2B" w:rsidRDefault="006A1A2B" w:rsidP="006A1A2B">
      <w:pPr>
        <w:pStyle w:val="Recuodecorpodetexto2"/>
        <w:widowControl w:val="0"/>
        <w:ind w:left="1620" w:firstLine="0"/>
        <w:rPr>
          <w:sz w:val="24"/>
        </w:rPr>
      </w:pPr>
    </w:p>
    <w:p w:rsidR="006A1A2B" w:rsidRDefault="006A1A2B" w:rsidP="00AD14C8">
      <w:pPr>
        <w:pStyle w:val="Ttulo2"/>
      </w:pPr>
      <w:bookmarkStart w:id="3" w:name="_Toc404606044"/>
      <w:r>
        <w:t>Requisitos atendidos</w:t>
      </w:r>
      <w:bookmarkEnd w:id="3"/>
    </w:p>
    <w:p w:rsidR="006A1A2B" w:rsidRDefault="006A1A2B" w:rsidP="006A1A2B"/>
    <w:p w:rsidR="006A1A2B" w:rsidRDefault="006A1A2B" w:rsidP="006A1A2B">
      <w:pPr>
        <w:pStyle w:val="Recuodecorpodetexto"/>
        <w:ind w:left="1260"/>
      </w:pPr>
      <w:r>
        <w:t>R5 – Manter Rubricas de Pagamento</w:t>
      </w:r>
    </w:p>
    <w:p w:rsidR="006A1A2B" w:rsidRDefault="006A1A2B" w:rsidP="006A1A2B"/>
    <w:p w:rsidR="006A1A2B" w:rsidRDefault="006A1A2B" w:rsidP="006A1A2B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06045"/>
      <w:r>
        <w:t>Conceito</w:t>
      </w:r>
      <w:bookmarkEnd w:id="4"/>
      <w:r>
        <w:tab/>
      </w:r>
    </w:p>
    <w:p w:rsidR="006A1A2B" w:rsidRDefault="006A1A2B" w:rsidP="006A1A2B"/>
    <w:p w:rsidR="006A1A2B" w:rsidRDefault="006A1A2B" w:rsidP="00AD14C8">
      <w:pPr>
        <w:pStyle w:val="Ttulo2"/>
      </w:pPr>
      <w:bookmarkStart w:id="5" w:name="_Toc404606046"/>
      <w:r>
        <w:t>Conceitos principais</w:t>
      </w:r>
      <w:bookmarkEnd w:id="5"/>
    </w:p>
    <w:p w:rsidR="006A1A2B" w:rsidRDefault="006A1A2B" w:rsidP="006A1A2B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6A1A2B" w:rsidRDefault="006A1A2B" w:rsidP="006A1A2B">
      <w:pPr>
        <w:rPr>
          <w:rFonts w:cs="Arial"/>
        </w:rPr>
      </w:pPr>
    </w:p>
    <w:p w:rsidR="006A1A2B" w:rsidRDefault="006A1A2B" w:rsidP="00AD14C8">
      <w:pPr>
        <w:pStyle w:val="Ttulo2"/>
      </w:pPr>
      <w:bookmarkStart w:id="6" w:name="_Toc404606047"/>
      <w:r>
        <w:t>Conceitos associados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48"/>
        <w:gridCol w:w="5822"/>
      </w:tblGrid>
      <w:tr w:rsidR="006A1A2B" w:rsidTr="00AD14C8">
        <w:trPr>
          <w:trHeight w:val="600"/>
        </w:trPr>
        <w:tc>
          <w:tcPr>
            <w:tcW w:w="3248" w:type="dxa"/>
          </w:tcPr>
          <w:p w:rsidR="006A1A2B" w:rsidRDefault="006A1A2B" w:rsidP="006A1A2B">
            <w:pPr>
              <w:pStyle w:val="Cabealho"/>
              <w:tabs>
                <w:tab w:val="left" w:pos="708"/>
              </w:tabs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Rubrica de Pagamento</w:t>
            </w:r>
          </w:p>
        </w:tc>
        <w:tc>
          <w:tcPr>
            <w:tcW w:w="5822" w:type="dxa"/>
          </w:tcPr>
          <w:p w:rsidR="006A1A2B" w:rsidRDefault="006A1A2B" w:rsidP="00AD14C8">
            <w:pPr>
              <w:pStyle w:val="Cabealho"/>
              <w:tabs>
                <w:tab w:val="left" w:pos="708"/>
              </w:tabs>
              <w:ind w:left="0"/>
              <w:rPr>
                <w:rFonts w:cs="Arial"/>
              </w:rPr>
            </w:pPr>
            <w:r>
              <w:rPr>
                <w:rFonts w:cs="Arial"/>
              </w:rPr>
              <w:t>Identifica os itens remuneratórios do servidor.</w:t>
            </w:r>
          </w:p>
        </w:tc>
      </w:tr>
      <w:tr w:rsidR="006A1A2B" w:rsidTr="00AD14C8">
        <w:trPr>
          <w:trHeight w:val="600"/>
        </w:trPr>
        <w:tc>
          <w:tcPr>
            <w:tcW w:w="3248" w:type="dxa"/>
          </w:tcPr>
          <w:p w:rsidR="006A1A2B" w:rsidRDefault="006A1A2B" w:rsidP="00AD14C8">
            <w:pPr>
              <w:pStyle w:val="Cabealho"/>
              <w:tabs>
                <w:tab w:val="left" w:pos="708"/>
              </w:tabs>
              <w:ind w:left="0"/>
              <w:rPr>
                <w:rFonts w:cs="Arial"/>
                <w:b/>
                <w:lang w:val="es-ES_tradnl"/>
              </w:rPr>
            </w:pPr>
            <w:r>
              <w:rPr>
                <w:rFonts w:cs="Arial"/>
                <w:b/>
                <w:lang w:val="es-ES_tradnl"/>
              </w:rPr>
              <w:t>Tipos de Rubrica</w:t>
            </w:r>
          </w:p>
        </w:tc>
        <w:tc>
          <w:tcPr>
            <w:tcW w:w="5822" w:type="dxa"/>
          </w:tcPr>
          <w:p w:rsidR="006A1A2B" w:rsidRDefault="006A1A2B" w:rsidP="00AD14C8">
            <w:pPr>
              <w:pStyle w:val="Cabealho"/>
              <w:tabs>
                <w:tab w:val="left" w:pos="708"/>
              </w:tabs>
              <w:ind w:left="0"/>
              <w:rPr>
                <w:rFonts w:cs="Arial"/>
              </w:rPr>
            </w:pPr>
            <w:r>
              <w:rPr>
                <w:rFonts w:cs="Arial"/>
              </w:rPr>
              <w:t>Identifica se a rubrica é de origem provento ou desconto.</w:t>
            </w:r>
          </w:p>
        </w:tc>
      </w:tr>
    </w:tbl>
    <w:p w:rsidR="006A1A2B" w:rsidRDefault="006A1A2B" w:rsidP="006A1A2B">
      <w:pPr>
        <w:pStyle w:val="Cabealho"/>
        <w:rPr>
          <w:rFonts w:cs="Arial"/>
        </w:rPr>
      </w:pPr>
    </w:p>
    <w:p w:rsidR="006A1A2B" w:rsidRDefault="006A1A2B" w:rsidP="006A1A2B">
      <w:pPr>
        <w:rPr>
          <w:rFonts w:eastAsia="Arial Unicode MS"/>
        </w:rPr>
      </w:pPr>
    </w:p>
    <w:p w:rsidR="006A1A2B" w:rsidRDefault="006A1A2B" w:rsidP="006A1A2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06048"/>
      <w:r>
        <w:lastRenderedPageBreak/>
        <w:t>Diagrama</w:t>
      </w:r>
      <w:bookmarkEnd w:id="7"/>
    </w:p>
    <w:p w:rsidR="006A1A2B" w:rsidRDefault="006A1A2B" w:rsidP="006A1A2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6A1A2B" w:rsidRDefault="00AD14C8" w:rsidP="00AD14C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667375" cy="242887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1A2B" w:rsidRDefault="006A1A2B" w:rsidP="006A1A2B">
      <w:pPr>
        <w:widowControl w:val="0"/>
        <w:jc w:val="center"/>
        <w:rPr>
          <w:rFonts w:cs="Arial"/>
        </w:rPr>
      </w:pPr>
    </w:p>
    <w:p w:rsidR="006A1A2B" w:rsidRDefault="006A1A2B" w:rsidP="006A1A2B">
      <w:pPr>
        <w:pStyle w:val="Ttulo1"/>
        <w:numPr>
          <w:ilvl w:val="0"/>
          <w:numId w:val="0"/>
        </w:numPr>
      </w:pPr>
    </w:p>
    <w:p w:rsidR="006A1A2B" w:rsidRDefault="006A1A2B" w:rsidP="006A1A2B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8" w:name="_Toc404606049"/>
      <w:r>
        <w:lastRenderedPageBreak/>
        <w:t>Casos de Uso</w:t>
      </w:r>
      <w:bookmarkEnd w:id="8"/>
    </w:p>
    <w:p w:rsidR="006A1A2B" w:rsidRDefault="006A1A2B" w:rsidP="00AD14C8">
      <w:pPr>
        <w:pStyle w:val="Ttulo2"/>
      </w:pPr>
      <w:bookmarkStart w:id="9" w:name="_Toc404606050"/>
      <w:r>
        <w:t>Incluir Rubrica de Pagamento no Órgão</w:t>
      </w:r>
      <w:bookmarkEnd w:id="9"/>
      <w:r>
        <w:t> </w:t>
      </w:r>
    </w:p>
    <w:p w:rsidR="006A1A2B" w:rsidRDefault="006A1A2B" w:rsidP="006A1A2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0" w:name="_Toc404606051"/>
      <w:r>
        <w:t>Fluxo Básico</w:t>
      </w:r>
      <w:bookmarkEnd w:id="10"/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rubricas de pagamento no órgão;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funcionalidade de incluir rubricas no órgão;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regra estabelecida no documento Regras de Negócio (</w:t>
      </w:r>
      <w:r>
        <w:rPr>
          <w:b/>
          <w:bCs w:val="0"/>
        </w:rPr>
        <w:t>RGN2.1.34.1, RGN2.1.14.2</w:t>
      </w:r>
      <w:r>
        <w:t>);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dados relativos às Informações Principais para preenchimento;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opção de próximo;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regras estabelecidas no documento Regras de Negócio do módulo de Pagamento (</w:t>
      </w:r>
      <w:r>
        <w:rPr>
          <w:b/>
          <w:bCs w:val="0"/>
        </w:rPr>
        <w:t>RGN2.1.60.1</w:t>
      </w:r>
      <w:r>
        <w:t xml:space="preserve">, </w:t>
      </w:r>
      <w:r>
        <w:rPr>
          <w:b/>
          <w:bCs w:val="0"/>
        </w:rPr>
        <w:t>RGN2.1.14.1, RGN2.1.32.1, RGN2.1.41.2, RGN2.1.39.1)</w:t>
      </w:r>
      <w:r>
        <w:t>;</w:t>
      </w:r>
      <w:r>
        <w:rPr>
          <w:b/>
          <w:bCs w:val="0"/>
        </w:rPr>
        <w:t xml:space="preserve"> 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dados relativos à Abrangência para preenchimento;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opção de próximo;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dados relativos à Vinculações da Abrangência para preenchimento;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incluir;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regras estabelecidas no documento Regras de Negócio do módulo de Pagamento (</w:t>
      </w:r>
      <w:r>
        <w:rPr>
          <w:b/>
          <w:bCs w:val="0"/>
        </w:rPr>
        <w:t>RGN2.1.18.4, RGN2.1.18.5</w:t>
      </w:r>
      <w:r>
        <w:t>);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operação, processa as regras </w:t>
      </w:r>
      <w:r>
        <w:rPr>
          <w:b/>
          <w:bCs w:val="0"/>
        </w:rPr>
        <w:t xml:space="preserve">RGN2.1.15.1, RGN2.1.16.1 </w:t>
      </w:r>
      <w:r>
        <w:t xml:space="preserve">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6A1A2B" w:rsidRPr="006A1A2B" w:rsidRDefault="006A1A2B" w:rsidP="006A1A2B">
      <w:pPr>
        <w:pStyle w:val="Recuodecorpodetexto"/>
        <w:rPr>
          <w:color w:val="000080"/>
        </w:rPr>
      </w:pPr>
    </w:p>
    <w:p w:rsidR="006A1A2B" w:rsidRDefault="006A1A2B" w:rsidP="00AD14C8">
      <w:pPr>
        <w:pStyle w:val="Ttulo2"/>
      </w:pPr>
      <w:bookmarkStart w:id="11" w:name="_Toc404606052"/>
      <w:r>
        <w:t>Alterar Rubrica de Pagamento no Órgão</w:t>
      </w:r>
      <w:bookmarkEnd w:id="11"/>
    </w:p>
    <w:p w:rsidR="006A1A2B" w:rsidRDefault="006A1A2B" w:rsidP="006A1A2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606053"/>
      <w:r>
        <w:t>Fluxo Básico</w:t>
      </w:r>
      <w:bookmarkEnd w:id="12"/>
      <w:r>
        <w:t> 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bookmarkStart w:id="13" w:name="_Toc195952995"/>
      <w:r>
        <w:t>O ator seleciona a rubrica de pagamento após executar a funcionalidade “Listar Rubricas de Pagamento do Órgão”;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que permite alterar as “Informações Principais” da rubrica de pagamento selecionada;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regra estabelecida no documento Regras de Negócio do módulo de Pagamento (</w:t>
      </w:r>
      <w:r>
        <w:rPr>
          <w:b/>
          <w:bCs w:val="0"/>
        </w:rPr>
        <w:t>RGN2.1.34.1, RGN2.1.14.2</w:t>
      </w:r>
      <w:r>
        <w:t>);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dados relativos às Informações Principais da rubrica selecionada no órgão;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os dados necessários;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opção de próximo;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que o ator selecionou a opção </w:t>
      </w:r>
      <w:r>
        <w:rPr>
          <w:u w:val="single"/>
        </w:rPr>
        <w:t xml:space="preserve">“Retificar </w:t>
      </w:r>
      <w:r>
        <w:rPr>
          <w:u w:val="single"/>
        </w:rPr>
        <w:lastRenderedPageBreak/>
        <w:t>última vigência”</w:t>
      </w:r>
      <w:r>
        <w:t>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as informações de </w:t>
      </w:r>
      <w:r>
        <w:rPr>
          <w:b/>
          <w:bCs w:val="0"/>
        </w:rPr>
        <w:t>vigência retificadora</w:t>
      </w:r>
      <w:r>
        <w:t xml:space="preserve"> de acordo com as regras estabelecidas no documento Regras de Negócio (</w:t>
      </w:r>
      <w:r>
        <w:rPr>
          <w:b/>
          <w:bCs w:val="0"/>
        </w:rPr>
        <w:t>RGN2.1.3.1, RGN2.1.3.2</w:t>
      </w:r>
      <w:r>
        <w:t>);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regras estabelecidas no documento Regras de Negócio do módulo de Pagamento (</w:t>
      </w:r>
      <w:r>
        <w:rPr>
          <w:b/>
          <w:bCs w:val="0"/>
        </w:rPr>
        <w:t>RGN2.1.60.1, RGN2.1.32.1, RGN2.1.5.1, RGN2.1.5.2, RGN2.1.39.1)</w:t>
      </w:r>
      <w:r>
        <w:t>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dados relativos à Abrangência da rubrica selecionada no órgão;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os dados necessários;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opção de próximo;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dados relativos às Vinculações de Abrangência da rubrica selecionada no órgão;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os dados necessários;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alterar;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regras estabelecidas no documento Regras de Negócio do módulo de Pagamento (</w:t>
      </w:r>
      <w:r>
        <w:rPr>
          <w:b/>
          <w:bCs w:val="0"/>
        </w:rPr>
        <w:t>RGN2.1.18.4, RGN2.1.18.5, RGN2.1.33.1</w:t>
      </w:r>
      <w:r>
        <w:t>);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operação, processa as regras </w:t>
      </w:r>
      <w:r>
        <w:rPr>
          <w:b/>
          <w:bCs w:val="0"/>
        </w:rPr>
        <w:t>RGN2.1.40.1</w:t>
      </w:r>
      <w:r>
        <w:t xml:space="preserve">, </w:t>
      </w:r>
      <w:r>
        <w:rPr>
          <w:b/>
          <w:bCs w:val="0"/>
        </w:rPr>
        <w:t>RGN2.1.6.1, RGN2.1.6.2, RGN2.1.15.1</w:t>
      </w:r>
      <w:r>
        <w:t xml:space="preserve">, </w:t>
      </w:r>
      <w:r>
        <w:rPr>
          <w:b/>
          <w:bCs w:val="0"/>
        </w:rPr>
        <w:t xml:space="preserve">RGN2.1.16.1 </w:t>
      </w:r>
      <w:r>
        <w:t xml:space="preserve">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6A1A2B" w:rsidRDefault="006A1A2B" w:rsidP="006A1A2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606054"/>
      <w:r>
        <w:t>Fluxo Alternativo: Rubricas que impedem o recebimento desta - item 4.2.1.2</w:t>
      </w:r>
      <w:bookmarkEnd w:id="13"/>
      <w:bookmarkEnd w:id="14"/>
      <w:r>
        <w:t> 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que permite alterar “Rubricas que impedem o recebimento desta” da rubrica selecionada;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regra estabelecida no documento Regras de Negócio do módulo de Pagamento (</w:t>
      </w:r>
      <w:r>
        <w:rPr>
          <w:b/>
          <w:bCs w:val="0"/>
        </w:rPr>
        <w:t>RGN2.1.34.1, RGN2.1.14.2</w:t>
      </w:r>
      <w:r>
        <w:t>);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da rubrica selecionada para alteração das rubricas que impedem o recebimento desta rubrica;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alterar;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que o ator selecionou a opção </w:t>
      </w:r>
      <w:r>
        <w:rPr>
          <w:u w:val="single"/>
        </w:rPr>
        <w:t>“Retificar última vigência”</w:t>
      </w:r>
      <w:r>
        <w:t>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as informações de </w:t>
      </w:r>
      <w:r>
        <w:rPr>
          <w:b/>
          <w:bCs w:val="0"/>
        </w:rPr>
        <w:t>vigência retificadora</w:t>
      </w:r>
      <w:r>
        <w:t xml:space="preserve"> de acordo com as regras estabelecidas no documento Regras de Negócio (</w:t>
      </w:r>
      <w:r>
        <w:rPr>
          <w:b/>
          <w:bCs w:val="0"/>
        </w:rPr>
        <w:t>RGN2.1.3.1, RGN2.1.3.2</w:t>
      </w:r>
      <w:r>
        <w:t>);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regras estabelecidas no documento Regras de Negócio do módulo de Pagamento (</w:t>
      </w:r>
      <w:r>
        <w:rPr>
          <w:b/>
          <w:bCs w:val="0"/>
        </w:rPr>
        <w:t>RGN2.1.14.1, RGN2.1.30.1, RGN2.1.31.1, RN2.1.5.1, RGN2.1.5.2, RGN2.1.39.1</w:t>
      </w:r>
      <w:r>
        <w:t>);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720"/>
      </w:pPr>
      <w:r>
        <w:t xml:space="preserve">O sistema processa a operação, processa a regra </w:t>
      </w:r>
      <w:r>
        <w:rPr>
          <w:b/>
          <w:bCs w:val="0"/>
        </w:rPr>
        <w:t>RGN2.1.40.1</w:t>
      </w:r>
      <w:r>
        <w:t xml:space="preserve">, </w:t>
      </w:r>
      <w:r>
        <w:rPr>
          <w:b/>
          <w:bCs w:val="0"/>
        </w:rPr>
        <w:t xml:space="preserve">RGN2.1.6.1, RGN2.1.6.2 </w:t>
      </w:r>
      <w:r>
        <w:t xml:space="preserve">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6A1A2B" w:rsidRDefault="006A1A2B" w:rsidP="006A1A2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606055"/>
      <w:r>
        <w:t>Fluxo Alternativo: Rubricas exigidas para o recebimento desta - item 4.2.1.2</w:t>
      </w:r>
      <w:bookmarkEnd w:id="15"/>
      <w:r>
        <w:t> 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que permite alterar “Rubricas exigidas para o recebimento desta” da rubrica selecionada;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lastRenderedPageBreak/>
        <w:t>O sistema valida a regra estabelecida no documento Regras de Negócio do módulo de Pagamento (</w:t>
      </w:r>
      <w:r>
        <w:rPr>
          <w:b/>
          <w:bCs w:val="0"/>
        </w:rPr>
        <w:t>RGN2.1.34.1, RGN2.1.14.2</w:t>
      </w:r>
      <w:r>
        <w:t>);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da rubrica selecionada para alteração das rubricas que exigem o recebimento desta rubrica;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alterar;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que o ator selecionou a opção </w:t>
      </w:r>
      <w:r>
        <w:rPr>
          <w:u w:val="single"/>
        </w:rPr>
        <w:t>“Retificar última vigência”</w:t>
      </w:r>
      <w:r>
        <w:t>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as informações de </w:t>
      </w:r>
      <w:r>
        <w:rPr>
          <w:b/>
          <w:bCs w:val="0"/>
        </w:rPr>
        <w:t>vigência retificadora</w:t>
      </w:r>
      <w:r>
        <w:t xml:space="preserve"> de acordo com as regras estabelecidas no documento Regras de Negócio (</w:t>
      </w:r>
      <w:r>
        <w:rPr>
          <w:b/>
          <w:bCs w:val="0"/>
        </w:rPr>
        <w:t>RGN2.1.3.1, RGN2.1.3.2</w:t>
      </w:r>
      <w:r>
        <w:t>);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regras estabelecidas no documento Regras de Negócio do módulo de Pagamento (</w:t>
      </w:r>
      <w:r>
        <w:rPr>
          <w:b/>
          <w:bCs w:val="0"/>
        </w:rPr>
        <w:t>RGN2.1.14.1, RGN2.1.30.1, RGN2.1.31.1, RN2.1.5.1, RGN2.1.5.2, RGN2.1.39.1</w:t>
      </w:r>
      <w:r>
        <w:t>);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operação, processa a regra </w:t>
      </w:r>
      <w:r>
        <w:rPr>
          <w:b/>
          <w:bCs w:val="0"/>
        </w:rPr>
        <w:t>RGN2.1.40.1</w:t>
      </w:r>
      <w:r>
        <w:t xml:space="preserve">, </w:t>
      </w:r>
      <w:r>
        <w:rPr>
          <w:b/>
          <w:bCs w:val="0"/>
        </w:rPr>
        <w:t xml:space="preserve">RGN2.1.6.1, RGN2.1.6.2 </w:t>
      </w:r>
      <w:r>
        <w:t xml:space="preserve">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6A1A2B" w:rsidRDefault="006A1A2B" w:rsidP="006A1A2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color w:val="auto"/>
        </w:rPr>
      </w:pPr>
      <w:r>
        <w:rPr>
          <w:vanish/>
          <w:color w:val="auto"/>
        </w:rPr>
        <w:t xml:space="preserve">UCS138 </w:t>
      </w:r>
      <w:bookmarkStart w:id="16" w:name="_Toc404606056"/>
      <w:r>
        <w:rPr>
          <w:color w:val="auto"/>
        </w:rPr>
        <w:t>Fluxo Alternativo: Criar nova vigência – Substitui a partir do passo 4.2.1.7, 4.2.2.6 ou 4.2.3.6</w:t>
      </w:r>
      <w:bookmarkEnd w:id="16"/>
      <w:r>
        <w:rPr>
          <w:color w:val="auto"/>
        </w:rPr>
        <w:t> 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que o ator selecionou a opção </w:t>
      </w:r>
      <w:r>
        <w:rPr>
          <w:u w:val="single"/>
        </w:rPr>
        <w:t>“Criar nova vigência”</w:t>
      </w:r>
      <w:r>
        <w:t>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as informações de </w:t>
      </w:r>
      <w:r>
        <w:rPr>
          <w:b/>
          <w:bCs w:val="0"/>
        </w:rPr>
        <w:t>nova</w:t>
      </w:r>
      <w:r>
        <w:t xml:space="preserve"> </w:t>
      </w:r>
      <w:r>
        <w:rPr>
          <w:b/>
          <w:bCs w:val="0"/>
        </w:rPr>
        <w:t xml:space="preserve">vigência </w:t>
      </w:r>
      <w:r>
        <w:t>de acordo com as regras estabelecidas no documento Regras de Negócio (</w:t>
      </w:r>
      <w:r>
        <w:rPr>
          <w:b/>
          <w:bCs w:val="0"/>
        </w:rPr>
        <w:t>RGN2.1.4.1, RGN2.1.4.2</w:t>
      </w:r>
      <w:r>
        <w:t>);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Retorna ao passo </w:t>
      </w:r>
      <w:r>
        <w:rPr>
          <w:b/>
          <w:bCs w:val="0"/>
        </w:rPr>
        <w:t>4.2.1.9</w:t>
      </w:r>
      <w:r>
        <w:t xml:space="preserve">, </w:t>
      </w:r>
      <w:r>
        <w:rPr>
          <w:b/>
          <w:bCs w:val="0"/>
        </w:rPr>
        <w:t>4.2.2.8</w:t>
      </w:r>
      <w:r>
        <w:t xml:space="preserve"> ou </w:t>
      </w:r>
      <w:r>
        <w:rPr>
          <w:b/>
          <w:bCs w:val="0"/>
        </w:rPr>
        <w:t>4.2.3.8</w:t>
      </w:r>
      <w:r>
        <w:t>, dependendo do fluxo de onde foi chamado.</w:t>
      </w:r>
    </w:p>
    <w:p w:rsidR="006A1A2B" w:rsidRDefault="006A1A2B" w:rsidP="006A1A2B">
      <w:pPr>
        <w:pStyle w:val="Recuodecorpodetexto"/>
      </w:pPr>
    </w:p>
    <w:p w:rsidR="006A1A2B" w:rsidRDefault="006A1A2B" w:rsidP="00AD14C8">
      <w:pPr>
        <w:pStyle w:val="Ttulo2"/>
      </w:pPr>
      <w:bookmarkStart w:id="17" w:name="_Toc196186919"/>
      <w:bookmarkStart w:id="18" w:name="_Toc404606057"/>
      <w:r>
        <w:t xml:space="preserve">Excluir Rubrica de Pagamento do </w:t>
      </w:r>
      <w:bookmarkEnd w:id="17"/>
      <w:r>
        <w:t>Órgão</w:t>
      </w:r>
      <w:bookmarkEnd w:id="18"/>
      <w:r>
        <w:t> </w:t>
      </w:r>
    </w:p>
    <w:p w:rsidR="006A1A2B" w:rsidRDefault="006A1A2B" w:rsidP="006A1A2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196186920"/>
      <w:bookmarkStart w:id="20" w:name="_Toc404606058"/>
      <w:r>
        <w:t>Fluxo Básico</w:t>
      </w:r>
      <w:bookmarkEnd w:id="19"/>
      <w:bookmarkEnd w:id="20"/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rubrica de pagamento após executar a funcionalidade “Listar Rubricas de Pagamento do Órgão”;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excluir a rubrica de pagamento selecionada do órgão;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exclusão de acordo com a Regra de Negócio estabelecida (</w:t>
      </w:r>
      <w:r>
        <w:rPr>
          <w:b/>
        </w:rPr>
        <w:t xml:space="preserve">RGN2.1.34.1, </w:t>
      </w:r>
      <w:r>
        <w:rPr>
          <w:b/>
          <w:bCs w:val="0"/>
        </w:rPr>
        <w:t xml:space="preserve">RGN2.1.14.2, </w:t>
      </w:r>
      <w:r>
        <w:rPr>
          <w:b/>
        </w:rPr>
        <w:t>RGN2.1.8.1, RGN2.1.9.1</w:t>
      </w:r>
      <w:r>
        <w:t>);</w:t>
      </w:r>
    </w:p>
    <w:p w:rsidR="006A1A2B" w:rsidRDefault="006A1A2B" w:rsidP="006A1A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operação, processa a regra </w:t>
      </w:r>
      <w:r>
        <w:rPr>
          <w:b/>
          <w:bCs w:val="0"/>
        </w:rPr>
        <w:t>RGN2.1.20.3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6A1A2B" w:rsidRDefault="006A1A2B" w:rsidP="006A1A2B">
      <w:pPr>
        <w:pStyle w:val="Recuodecorpodetexto"/>
      </w:pPr>
    </w:p>
    <w:p w:rsidR="006A1A2B" w:rsidRDefault="006A1A2B" w:rsidP="00AD14C8">
      <w:pPr>
        <w:pStyle w:val="Ttulo2"/>
      </w:pPr>
      <w:bookmarkStart w:id="21" w:name="_Toc404606059"/>
      <w:r>
        <w:t>Listar Rubricas de Pagamento do Órgão</w:t>
      </w:r>
      <w:bookmarkEnd w:id="21"/>
      <w:r>
        <w:t> </w:t>
      </w:r>
    </w:p>
    <w:p w:rsidR="006A1A2B" w:rsidRDefault="006A1A2B" w:rsidP="006A1A2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195408765"/>
      <w:bookmarkStart w:id="23" w:name="_Toc195952999"/>
      <w:bookmarkStart w:id="24" w:name="_Toc404606060"/>
      <w:r>
        <w:lastRenderedPageBreak/>
        <w:t>Fluxo Básico</w:t>
      </w:r>
      <w:bookmarkEnd w:id="22"/>
      <w:bookmarkEnd w:id="23"/>
      <w:bookmarkEnd w:id="24"/>
    </w:p>
    <w:p w:rsidR="006A1A2B" w:rsidRDefault="006A1A2B" w:rsidP="006A1A2B">
      <w:pPr>
        <w:pStyle w:val="Ttulo4"/>
        <w:keepNext w:val="0"/>
        <w:widowControl w:val="0"/>
        <w:numPr>
          <w:ilvl w:val="3"/>
          <w:numId w:val="19"/>
        </w:numPr>
        <w:spacing w:line="240" w:lineRule="auto"/>
      </w:pPr>
      <w:r>
        <w:t>O ator solicita a funcionalidade de manutenção de rubricas de pagamento do órgão;</w:t>
      </w:r>
    </w:p>
    <w:p w:rsidR="006A1A2B" w:rsidRDefault="006A1A2B" w:rsidP="006A1A2B">
      <w:pPr>
        <w:pStyle w:val="Ttulo4"/>
        <w:keepNext w:val="0"/>
        <w:widowControl w:val="0"/>
        <w:numPr>
          <w:ilvl w:val="3"/>
          <w:numId w:val="19"/>
        </w:numPr>
        <w:spacing w:line="240" w:lineRule="auto"/>
      </w:pPr>
      <w:r>
        <w:t>O sistema exibe os filtros para listagem de rubricas de pagamento do órgão;</w:t>
      </w:r>
    </w:p>
    <w:p w:rsidR="006A1A2B" w:rsidRDefault="006A1A2B" w:rsidP="006A1A2B">
      <w:pPr>
        <w:pStyle w:val="Ttulo4"/>
        <w:keepNext w:val="0"/>
        <w:widowControl w:val="0"/>
        <w:numPr>
          <w:ilvl w:val="3"/>
          <w:numId w:val="19"/>
        </w:numPr>
        <w:spacing w:line="240" w:lineRule="auto"/>
      </w:pPr>
      <w:r>
        <w:t xml:space="preserve">O ator informa os dados do filtro; </w:t>
      </w:r>
    </w:p>
    <w:p w:rsidR="006A1A2B" w:rsidRDefault="006A1A2B" w:rsidP="006A1A2B">
      <w:pPr>
        <w:pStyle w:val="Ttulo4"/>
        <w:keepNext w:val="0"/>
        <w:widowControl w:val="0"/>
        <w:numPr>
          <w:ilvl w:val="3"/>
          <w:numId w:val="19"/>
        </w:numPr>
        <w:spacing w:line="240" w:lineRule="auto"/>
      </w:pPr>
      <w:r>
        <w:t>O ator submete a opção de listar;</w:t>
      </w:r>
    </w:p>
    <w:p w:rsidR="006A1A2B" w:rsidRDefault="006A1A2B" w:rsidP="006A1A2B">
      <w:pPr>
        <w:pStyle w:val="Ttulo4"/>
        <w:keepNext w:val="0"/>
        <w:widowControl w:val="0"/>
        <w:numPr>
          <w:ilvl w:val="3"/>
          <w:numId w:val="19"/>
        </w:numPr>
        <w:spacing w:line="240" w:lineRule="auto"/>
      </w:pPr>
      <w:r>
        <w:t>O sistema exibe uma lista com os dados das rubricas de pagamento do órgão conforme pesquisa (</w:t>
      </w:r>
      <w:r>
        <w:rPr>
          <w:b/>
          <w:bCs w:val="0"/>
        </w:rPr>
        <w:t>RGN2.1.22.2</w:t>
      </w:r>
      <w:r>
        <w:t>).</w:t>
      </w:r>
    </w:p>
    <w:p w:rsidR="006A1A2B" w:rsidRDefault="006A1A2B" w:rsidP="006A1A2B">
      <w:pPr>
        <w:pStyle w:val="Ttulo4"/>
        <w:numPr>
          <w:ilvl w:val="3"/>
          <w:numId w:val="0"/>
        </w:numPr>
        <w:tabs>
          <w:tab w:val="num" w:pos="360"/>
        </w:tabs>
        <w:ind w:left="1080"/>
      </w:pPr>
    </w:p>
    <w:p w:rsidR="006A1A2B" w:rsidRDefault="006A1A2B" w:rsidP="006A1A2B">
      <w:pPr>
        <w:pStyle w:val="Ttulo4"/>
        <w:numPr>
          <w:ilvl w:val="3"/>
          <w:numId w:val="0"/>
        </w:numPr>
        <w:tabs>
          <w:tab w:val="num" w:pos="360"/>
        </w:tabs>
        <w:ind w:left="1728" w:hanging="648"/>
      </w:pPr>
    </w:p>
    <w:p w:rsidR="006A1A2B" w:rsidRDefault="006A1A2B" w:rsidP="006A1A2B">
      <w:pPr>
        <w:pStyle w:val="Ttulo1"/>
        <w:keepNext w:val="0"/>
        <w:widowControl w:val="0"/>
        <w:spacing w:before="0" w:line="240" w:lineRule="auto"/>
        <w:ind w:left="540" w:hanging="540"/>
      </w:pPr>
      <w:bookmarkStart w:id="25" w:name="_Toc195953002"/>
      <w:bookmarkStart w:id="26" w:name="_Toc404606061"/>
      <w:r>
        <w:t>Regras Gerais</w:t>
      </w:r>
      <w:bookmarkEnd w:id="25"/>
      <w:bookmarkEnd w:id="26"/>
    </w:p>
    <w:p w:rsidR="006A1A2B" w:rsidRDefault="006A1A2B" w:rsidP="00AD14C8">
      <w:pPr>
        <w:pStyle w:val="Ttulo2"/>
      </w:pPr>
      <w:bookmarkStart w:id="27" w:name="_Toc195953003"/>
      <w:bookmarkStart w:id="28" w:name="_Toc404606062"/>
      <w:r>
        <w:t>Regras de Negócio</w:t>
      </w:r>
      <w:bookmarkEnd w:id="27"/>
      <w:bookmarkEnd w:id="28"/>
    </w:p>
    <w:p w:rsidR="006A1A2B" w:rsidRDefault="006A1A2B" w:rsidP="006A1A2B"/>
    <w:p w:rsidR="006A1A2B" w:rsidRDefault="006A1A2B" w:rsidP="006A1A2B">
      <w:pPr>
        <w:pStyle w:val="Ttulo4"/>
        <w:numPr>
          <w:ilvl w:val="0"/>
          <w:numId w:val="0"/>
        </w:numPr>
        <w:ind w:left="1080"/>
        <w:rPr>
          <w:bCs w:val="0"/>
          <w:color w:val="000000"/>
        </w:rPr>
      </w:pPr>
      <w:r>
        <w:rPr>
          <w:bCs w:val="0"/>
          <w:color w:val="000000"/>
        </w:rPr>
        <w:t>Vide documento Regras de Negócio.RN, do módulo de Pagamento.</w:t>
      </w:r>
    </w:p>
    <w:p w:rsidR="006A1A2B" w:rsidRDefault="006A1A2B" w:rsidP="006A1A2B">
      <w:pPr>
        <w:pStyle w:val="Ttulo4"/>
        <w:numPr>
          <w:ilvl w:val="0"/>
          <w:numId w:val="0"/>
        </w:numPr>
        <w:ind w:left="1080"/>
      </w:pPr>
    </w:p>
    <w:p w:rsidR="006A1A2B" w:rsidRDefault="006A1A2B" w:rsidP="006A1A2B">
      <w:pPr>
        <w:pStyle w:val="Ttulo1"/>
        <w:keepNext w:val="0"/>
        <w:widowControl w:val="0"/>
        <w:spacing w:before="0" w:line="240" w:lineRule="auto"/>
        <w:ind w:left="540" w:hanging="540"/>
      </w:pPr>
      <w:bookmarkStart w:id="29" w:name="_Toc404606063"/>
      <w:r>
        <w:t>Anexos</w:t>
      </w:r>
      <w:bookmarkEnd w:id="29"/>
    </w:p>
    <w:p w:rsidR="006A1A2B" w:rsidRDefault="006A1A2B" w:rsidP="006A1A2B"/>
    <w:p w:rsidR="006A1A2B" w:rsidRDefault="006A1A2B" w:rsidP="006A1A2B">
      <w:pPr>
        <w:pStyle w:val="Ttulo4"/>
        <w:numPr>
          <w:ilvl w:val="0"/>
          <w:numId w:val="0"/>
        </w:numPr>
        <w:ind w:left="1080"/>
        <w:rPr>
          <w:bCs w:val="0"/>
          <w:color w:val="000000"/>
        </w:rPr>
      </w:pPr>
      <w:r>
        <w:rPr>
          <w:bCs w:val="0"/>
          <w:color w:val="000000"/>
        </w:rPr>
        <w:t>Não se aplica.</w:t>
      </w:r>
    </w:p>
    <w:p w:rsidR="006A1A2B" w:rsidRDefault="006A1A2B" w:rsidP="006A1A2B">
      <w:pPr>
        <w:widowControl w:val="0"/>
        <w:ind w:left="540"/>
        <w:rPr>
          <w:rFonts w:cs="Arial"/>
        </w:rPr>
      </w:pPr>
    </w:p>
    <w:sectPr w:rsidR="006A1A2B" w:rsidSect="00AD14C8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274" w:bottom="1417" w:left="1701" w:header="708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1A2B" w:rsidRDefault="006A1A2B" w:rsidP="002908D9">
      <w:r>
        <w:separator/>
      </w:r>
    </w:p>
  </w:endnote>
  <w:endnote w:type="continuationSeparator" w:id="0">
    <w:p w:rsidR="006A1A2B" w:rsidRDefault="006A1A2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AD14C8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6A1A2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D14C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AD14C8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AD14C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6A1A2B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A1A2B">
            <w:rPr>
              <w:b/>
              <w:sz w:val="20"/>
              <w:szCs w:val="20"/>
            </w:rPr>
            <w:t xml:space="preserve"> 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D14C8" w:rsidRPr="00AD14C8">
            <w:rPr>
              <w:b/>
              <w:sz w:val="20"/>
              <w:szCs w:val="20"/>
            </w:rPr>
            <w:t>UCS0654 - Manter Rubricas de Pagamento no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84F8A7B" wp14:editId="5E80607B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1A2B" w:rsidRDefault="006A1A2B" w:rsidP="002908D9">
      <w:r>
        <w:separator/>
      </w:r>
    </w:p>
  </w:footnote>
  <w:footnote w:type="continuationSeparator" w:id="0">
    <w:p w:rsidR="006A1A2B" w:rsidRDefault="006A1A2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EF58FBF" wp14:editId="5D98818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EAD1A17" wp14:editId="11CEB13C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41720C36" wp14:editId="4F4B3D0C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1471CF80" wp14:editId="6D3228AE">
          <wp:simplePos x="0" y="0"/>
          <wp:positionH relativeFrom="column">
            <wp:posOffset>4562475</wp:posOffset>
          </wp:positionH>
          <wp:positionV relativeFrom="paragraph">
            <wp:posOffset>-149860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DBF87CA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9FB4114"/>
    <w:multiLevelType w:val="multilevel"/>
    <w:tmpl w:val="4D6ECA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18"/>
  </w:num>
  <w:num w:numId="5">
    <w:abstractNumId w:val="13"/>
  </w:num>
  <w:num w:numId="6">
    <w:abstractNumId w:val="17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16"/>
  </w:num>
  <w:num w:numId="19">
    <w:abstractNumId w:val="6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1A2B"/>
    <w:rsid w:val="0000536A"/>
    <w:rsid w:val="00010C94"/>
    <w:rsid w:val="00011A7E"/>
    <w:rsid w:val="00080AA2"/>
    <w:rsid w:val="000A2BFB"/>
    <w:rsid w:val="000B4005"/>
    <w:rsid w:val="000F0299"/>
    <w:rsid w:val="00111169"/>
    <w:rsid w:val="0014199A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A1A2B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14C8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1A2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A1A2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D14C8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A1A2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A1A2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A1A2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A1A2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A1A2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A1A2B"/>
    <w:pPr>
      <w:ind w:left="0"/>
    </w:pPr>
  </w:style>
  <w:style w:type="paragraph" w:styleId="ndicedeilustraes">
    <w:name w:val="table of figures"/>
    <w:basedOn w:val="Normal"/>
    <w:next w:val="Normal"/>
    <w:semiHidden/>
    <w:rsid w:val="006A1A2B"/>
  </w:style>
  <w:style w:type="paragraph" w:styleId="Sumrio2">
    <w:name w:val="toc 2"/>
    <w:basedOn w:val="Normal"/>
    <w:next w:val="Normal"/>
    <w:autoRedefine/>
    <w:uiPriority w:val="39"/>
    <w:rsid w:val="006A1A2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A1A2B"/>
    <w:pPr>
      <w:ind w:left="480"/>
    </w:pPr>
  </w:style>
  <w:style w:type="character" w:styleId="Hyperlink">
    <w:name w:val="Hyperlink"/>
    <w:basedOn w:val="Fontepargpadro"/>
    <w:uiPriority w:val="99"/>
    <w:rsid w:val="006A1A2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A1A2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A1A2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A1A2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A1A2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A1A2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A1A2B"/>
    <w:rPr>
      <w:sz w:val="16"/>
    </w:rPr>
  </w:style>
  <w:style w:type="character" w:styleId="Nmerodepgina">
    <w:name w:val="page number"/>
    <w:basedOn w:val="Fontepargpadro"/>
    <w:rsid w:val="006A1A2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A1A2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A1A2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A1A2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A1A2B"/>
  </w:style>
  <w:style w:type="paragraph" w:styleId="Corpodetexto">
    <w:name w:val="Body Text"/>
    <w:basedOn w:val="Normal"/>
    <w:link w:val="CorpodetextoChar"/>
    <w:rsid w:val="006A1A2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A1A2B"/>
    <w:rPr>
      <w:rFonts w:eastAsia="Arial Unicode MS"/>
    </w:rPr>
  </w:style>
  <w:style w:type="paragraph" w:customStyle="1" w:styleId="tabletext">
    <w:name w:val="tabletext"/>
    <w:basedOn w:val="Normal"/>
    <w:rsid w:val="006A1A2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A1A2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A1A2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A1A2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A1A2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A1A2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A1A2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A1A2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A1A2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A1A2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1A2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A1A2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D14C8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A1A2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A1A2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A1A2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A1A2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A1A2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A1A2B"/>
    <w:pPr>
      <w:ind w:left="0"/>
    </w:pPr>
  </w:style>
  <w:style w:type="paragraph" w:styleId="ndicedeilustraes">
    <w:name w:val="table of figures"/>
    <w:basedOn w:val="Normal"/>
    <w:next w:val="Normal"/>
    <w:semiHidden/>
    <w:rsid w:val="006A1A2B"/>
  </w:style>
  <w:style w:type="paragraph" w:styleId="Sumrio2">
    <w:name w:val="toc 2"/>
    <w:basedOn w:val="Normal"/>
    <w:next w:val="Normal"/>
    <w:autoRedefine/>
    <w:uiPriority w:val="39"/>
    <w:rsid w:val="006A1A2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A1A2B"/>
    <w:pPr>
      <w:ind w:left="480"/>
    </w:pPr>
  </w:style>
  <w:style w:type="character" w:styleId="Hyperlink">
    <w:name w:val="Hyperlink"/>
    <w:basedOn w:val="Fontepargpadro"/>
    <w:uiPriority w:val="99"/>
    <w:rsid w:val="006A1A2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A1A2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A1A2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A1A2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A1A2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A1A2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A1A2B"/>
    <w:rPr>
      <w:sz w:val="16"/>
    </w:rPr>
  </w:style>
  <w:style w:type="character" w:styleId="Nmerodepgina">
    <w:name w:val="page number"/>
    <w:basedOn w:val="Fontepargpadro"/>
    <w:rsid w:val="006A1A2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A1A2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A1A2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A1A2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A1A2B"/>
  </w:style>
  <w:style w:type="paragraph" w:styleId="Corpodetexto">
    <w:name w:val="Body Text"/>
    <w:basedOn w:val="Normal"/>
    <w:link w:val="CorpodetextoChar"/>
    <w:rsid w:val="006A1A2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A1A2B"/>
    <w:rPr>
      <w:rFonts w:eastAsia="Arial Unicode MS"/>
    </w:rPr>
  </w:style>
  <w:style w:type="paragraph" w:customStyle="1" w:styleId="tabletext">
    <w:name w:val="tabletext"/>
    <w:basedOn w:val="Normal"/>
    <w:rsid w:val="006A1A2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A1A2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A1A2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A1A2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A1A2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A1A2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A1A2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A1A2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A1A2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A1A2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CFDCE8-90C3-476F-9825-EFD8D2D0A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1251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9322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2014-11-09T04:08:00Z</cp:lastPrinted>
  <dcterms:created xsi:type="dcterms:W3CDTF">2014-11-09T04:08:00Z</dcterms:created>
  <dcterms:modified xsi:type="dcterms:W3CDTF">2014-11-24T17:25:00Z</dcterms:modified>
</cp:coreProperties>
</file>