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A02" w:rsidRDefault="00364A02" w:rsidP="00364A02"/>
    <w:p w:rsidR="00364A02" w:rsidRDefault="00364A02" w:rsidP="00364A02"/>
    <w:p w:rsidR="00364A02" w:rsidRDefault="00364A02" w:rsidP="00364A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64A02" w:rsidRDefault="00364A02" w:rsidP="00364A02">
      <w:pPr>
        <w:widowControl w:val="0"/>
        <w:rPr>
          <w:rFonts w:cs="Arial"/>
          <w:sz w:val="20"/>
          <w:u w:val="single"/>
        </w:rPr>
      </w:pPr>
    </w:p>
    <w:p w:rsidR="00364A02" w:rsidRDefault="00364A02" w:rsidP="00364A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widowControl w:val="0"/>
        <w:rPr>
          <w:rFonts w:cs="Arial"/>
          <w:sz w:val="20"/>
        </w:rPr>
      </w:pPr>
    </w:p>
    <w:p w:rsidR="00364A02" w:rsidRDefault="00364A02" w:rsidP="00364A02">
      <w:pPr>
        <w:widowControl w:val="0"/>
        <w:rPr>
          <w:rFonts w:cs="Arial"/>
        </w:rPr>
      </w:pPr>
    </w:p>
    <w:p w:rsidR="00364A02" w:rsidRPr="00E6659E" w:rsidRDefault="00364A02" w:rsidP="00364A02">
      <w:pPr>
        <w:pStyle w:val="Capa"/>
        <w:rPr>
          <w:color w:val="FF9900"/>
        </w:rPr>
      </w:pPr>
      <w:r>
        <w:t>SINDRAPE</w:t>
      </w:r>
    </w:p>
    <w:p w:rsidR="00364A02" w:rsidRPr="00E6659E" w:rsidRDefault="00364A02" w:rsidP="00364A0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64A02" w:rsidRPr="00364A02" w:rsidRDefault="00364A02" w:rsidP="00364A02">
      <w:pPr>
        <w:widowControl w:val="0"/>
        <w:rPr>
          <w:color w:val="000080"/>
        </w:rPr>
      </w:pPr>
    </w:p>
    <w:p w:rsidR="00364A02" w:rsidRPr="00364A02" w:rsidRDefault="00364A02" w:rsidP="00364A02">
      <w:pPr>
        <w:widowControl w:val="0"/>
        <w:jc w:val="right"/>
        <w:rPr>
          <w:rFonts w:cs="Arial"/>
          <w:b/>
          <w:bCs/>
          <w:color w:val="000080"/>
        </w:rPr>
      </w:pPr>
    </w:p>
    <w:p w:rsidR="00364A02" w:rsidRPr="00E6659E" w:rsidRDefault="00364A02" w:rsidP="00364A02">
      <w:pPr>
        <w:pStyle w:val="Capa"/>
      </w:pPr>
      <w:r>
        <w:t>UCS0388</w:t>
      </w:r>
      <w:r w:rsidR="00E30667">
        <w:t xml:space="preserve"> </w:t>
      </w:r>
      <w:r>
        <w:t>– Manter Indicadores de Vale Transporte no Órgão</w:t>
      </w:r>
    </w:p>
    <w:p w:rsidR="00364A02" w:rsidRPr="00E6659E" w:rsidRDefault="00364A02" w:rsidP="00364A02">
      <w:pPr>
        <w:widowControl w:val="0"/>
        <w:rPr>
          <w:rFonts w:cs="Arial"/>
        </w:rPr>
      </w:pPr>
    </w:p>
    <w:p w:rsidR="00364A02" w:rsidRPr="00E6659E" w:rsidRDefault="00364A02" w:rsidP="00364A02">
      <w:pPr>
        <w:widowControl w:val="0"/>
      </w:pPr>
    </w:p>
    <w:p w:rsidR="00364A02" w:rsidRPr="00E6659E" w:rsidRDefault="00364A02" w:rsidP="00364A02">
      <w:pPr>
        <w:pStyle w:val="Corpodetexto3"/>
        <w:widowControl w:val="0"/>
        <w:spacing w:after="0"/>
        <w:rPr>
          <w:rFonts w:cs="Arial"/>
        </w:rPr>
      </w:pPr>
      <w:r w:rsidRPr="00E6659E">
        <w:rPr>
          <w:b w:val="0"/>
        </w:rPr>
        <w:t xml:space="preserve"> </w:t>
      </w:r>
      <w:r w:rsidRPr="00E6659E">
        <w:rPr>
          <w:b w:val="0"/>
        </w:rPr>
        <w:br w:type="page"/>
      </w:r>
    </w:p>
    <w:p w:rsidR="00364A02" w:rsidRPr="00364A02" w:rsidRDefault="00364A02" w:rsidP="00364A02">
      <w:pPr>
        <w:pStyle w:val="Corpodetexto3"/>
        <w:widowControl w:val="0"/>
        <w:spacing w:after="0"/>
        <w:rPr>
          <w:rFonts w:cs="Arial"/>
        </w:rPr>
      </w:pPr>
      <w:r w:rsidRPr="00364A02">
        <w:rPr>
          <w:rFonts w:cs="Arial"/>
        </w:rPr>
        <w:lastRenderedPageBreak/>
        <w:t>Histórico de Revisões</w:t>
      </w:r>
    </w:p>
    <w:p w:rsidR="00364A02" w:rsidRPr="00E6659E" w:rsidRDefault="00364A02" w:rsidP="00364A0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64A02" w:rsidRPr="00E6659E" w:rsidTr="00364A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02" w:rsidRPr="00E6659E" w:rsidRDefault="00364A02" w:rsidP="00364A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6659E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02" w:rsidRPr="00E6659E" w:rsidRDefault="00364A02" w:rsidP="00364A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6659E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02" w:rsidRPr="00E6659E" w:rsidRDefault="00364A02" w:rsidP="00364A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6659E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02" w:rsidRPr="00E6659E" w:rsidRDefault="00364A02" w:rsidP="00364A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6659E">
              <w:rPr>
                <w:rFonts w:cs="Arial"/>
                <w:b/>
                <w:bCs/>
              </w:rPr>
              <w:t>Autor</w:t>
            </w:r>
          </w:p>
        </w:tc>
      </w:tr>
      <w:tr w:rsidR="00364A02" w:rsidRPr="00E6659E" w:rsidTr="00364A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02" w:rsidRPr="00E6659E" w:rsidRDefault="00364A02" w:rsidP="00364A02">
            <w:pPr>
              <w:widowControl w:val="0"/>
              <w:ind w:left="0"/>
              <w:jc w:val="left"/>
              <w:rPr>
                <w:rFonts w:cs="Arial"/>
              </w:rPr>
            </w:pPr>
            <w:r w:rsidRPr="00E6659E">
              <w:rPr>
                <w:rFonts w:cs="Arial"/>
              </w:rPr>
              <w:t>19/03/2009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02" w:rsidRPr="00E6659E" w:rsidRDefault="00364A02" w:rsidP="00364A02">
            <w:pPr>
              <w:widowControl w:val="0"/>
              <w:ind w:left="0"/>
              <w:jc w:val="left"/>
              <w:rPr>
                <w:rFonts w:cs="Arial"/>
              </w:rPr>
            </w:pPr>
            <w:r w:rsidRPr="00E6659E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02" w:rsidRPr="00E6659E" w:rsidRDefault="00364A02" w:rsidP="00364A02">
            <w:pPr>
              <w:widowControl w:val="0"/>
              <w:ind w:left="0"/>
              <w:jc w:val="left"/>
              <w:rPr>
                <w:rFonts w:cs="Arial"/>
              </w:rPr>
            </w:pPr>
            <w:r w:rsidRPr="00E6659E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02" w:rsidRPr="00E6659E" w:rsidRDefault="00364A02" w:rsidP="00364A02">
            <w:pPr>
              <w:widowControl w:val="0"/>
              <w:ind w:left="0"/>
              <w:jc w:val="left"/>
              <w:rPr>
                <w:rFonts w:cs="Arial"/>
              </w:rPr>
            </w:pPr>
            <w:r w:rsidRPr="00E6659E">
              <w:rPr>
                <w:rFonts w:cs="Arial"/>
              </w:rPr>
              <w:t xml:space="preserve">Nelson Brandão Luiz </w:t>
            </w:r>
          </w:p>
        </w:tc>
      </w:tr>
    </w:tbl>
    <w:p w:rsidR="00364A02" w:rsidRPr="00E6659E" w:rsidRDefault="00364A02" w:rsidP="00364A02">
      <w:pPr>
        <w:pStyle w:val="Corpodetexto3"/>
        <w:widowControl w:val="0"/>
        <w:spacing w:after="0"/>
        <w:jc w:val="left"/>
        <w:rPr>
          <w:rFonts w:cs="Arial"/>
        </w:rPr>
      </w:pPr>
      <w:r w:rsidRPr="00E6659E">
        <w:br w:type="page"/>
      </w:r>
    </w:p>
    <w:p w:rsidR="00364A02" w:rsidRPr="00364A02" w:rsidRDefault="00364A02" w:rsidP="00364A02">
      <w:pPr>
        <w:pStyle w:val="Corpodetexto3"/>
        <w:widowControl w:val="0"/>
        <w:spacing w:after="0"/>
        <w:jc w:val="left"/>
        <w:rPr>
          <w:rFonts w:cs="Arial"/>
        </w:rPr>
      </w:pPr>
      <w:r w:rsidRPr="00364A02">
        <w:rPr>
          <w:rFonts w:cs="Arial"/>
        </w:rPr>
        <w:lastRenderedPageBreak/>
        <w:t>Índice</w:t>
      </w:r>
    </w:p>
    <w:p w:rsidR="00364A02" w:rsidRPr="00364A02" w:rsidRDefault="00364A02" w:rsidP="00364A02">
      <w:pPr>
        <w:pStyle w:val="Corpodetexto3"/>
        <w:widowControl w:val="0"/>
        <w:spacing w:after="0"/>
        <w:jc w:val="left"/>
        <w:rPr>
          <w:rFonts w:cs="Arial"/>
        </w:rPr>
      </w:pPr>
    </w:p>
    <w:p w:rsidR="00E30667" w:rsidRDefault="00364A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6659E">
        <w:rPr>
          <w:rFonts w:cs="Arial"/>
        </w:rPr>
        <w:fldChar w:fldCharType="begin"/>
      </w:r>
      <w:r w:rsidRPr="00E6659E">
        <w:rPr>
          <w:rFonts w:cs="Arial"/>
        </w:rPr>
        <w:instrText xml:space="preserve"> TOC \o "1-3" \h \z </w:instrText>
      </w:r>
      <w:r w:rsidRPr="00E6659E">
        <w:rPr>
          <w:rFonts w:cs="Arial"/>
        </w:rPr>
        <w:fldChar w:fldCharType="separate"/>
      </w:r>
      <w:hyperlink w:anchor="_Toc404530926" w:history="1">
        <w:r w:rsidR="00E30667" w:rsidRPr="00DF412D">
          <w:rPr>
            <w:rStyle w:val="Hyperlink"/>
            <w:noProof/>
          </w:rPr>
          <w:t>1.</w:t>
        </w:r>
        <w:r w:rsidR="00E3066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30667" w:rsidRPr="00DF412D">
          <w:rPr>
            <w:rStyle w:val="Hyperlink"/>
            <w:noProof/>
          </w:rPr>
          <w:t>Pacote/Caso de Uso</w:t>
        </w:r>
        <w:r w:rsidR="00E30667">
          <w:rPr>
            <w:noProof/>
            <w:webHidden/>
          </w:rPr>
          <w:tab/>
        </w:r>
        <w:r w:rsidR="00E30667">
          <w:rPr>
            <w:noProof/>
            <w:webHidden/>
          </w:rPr>
          <w:fldChar w:fldCharType="begin"/>
        </w:r>
        <w:r w:rsidR="00E30667">
          <w:rPr>
            <w:noProof/>
            <w:webHidden/>
          </w:rPr>
          <w:instrText xml:space="preserve"> PAGEREF _Toc404530926 \h </w:instrText>
        </w:r>
        <w:r w:rsidR="00E30667">
          <w:rPr>
            <w:noProof/>
            <w:webHidden/>
          </w:rPr>
        </w:r>
        <w:r w:rsidR="00E30667">
          <w:rPr>
            <w:noProof/>
            <w:webHidden/>
          </w:rPr>
          <w:fldChar w:fldCharType="separate"/>
        </w:r>
        <w:r w:rsidR="00E30667">
          <w:rPr>
            <w:noProof/>
            <w:webHidden/>
          </w:rPr>
          <w:t>4</w:t>
        </w:r>
        <w:r w:rsidR="00E30667"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27" w:history="1">
        <w:r w:rsidRPr="00DF412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28" w:history="1">
        <w:r w:rsidRPr="00DF412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29" w:history="1">
        <w:r w:rsidRPr="00DF412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0" w:history="1">
        <w:r w:rsidRPr="00DF412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1" w:history="1">
        <w:r w:rsidRPr="00DF412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2" w:history="1">
        <w:r w:rsidRPr="00DF412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3" w:history="1">
        <w:r w:rsidRPr="00DF412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4" w:history="1">
        <w:r w:rsidRPr="00DF412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Incluir Indicadores de Vale Transporte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5" w:history="1">
        <w:r w:rsidRPr="00DF412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6" w:history="1">
        <w:r w:rsidRPr="00DF412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Alterar Indicadores de Vale Transporte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7" w:history="1">
        <w:r w:rsidRPr="00DF412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8" w:history="1">
        <w:r w:rsidRPr="00DF412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Excluir Indicadores de Vale Transporte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39" w:history="1">
        <w:r w:rsidRPr="00DF412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0" w:history="1">
        <w:r w:rsidRPr="00DF412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Listar Indicadores de Vale Transporte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1" w:history="1">
        <w:r w:rsidRPr="00DF412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2" w:history="1">
        <w:r w:rsidRPr="00DF412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3" w:history="1">
        <w:r w:rsidRPr="00DF412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4" w:history="1">
        <w:r w:rsidRPr="00DF412D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RN01: Verificar existência de indicadores para o Órgão.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5" w:history="1">
        <w:r w:rsidRPr="00DF412D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RN02: Verificar folha de pagamento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6" w:history="1">
        <w:r w:rsidRPr="00DF412D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RN03: Verificar última vigência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7" w:history="1">
        <w:r w:rsidRPr="00DF412D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RN04: Verificar última vigência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0667" w:rsidRDefault="00E30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948" w:history="1">
        <w:r w:rsidRPr="00DF412D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F412D">
          <w:rPr>
            <w:rStyle w:val="Hyperlink"/>
            <w:noProof/>
          </w:rPr>
          <w:t>RN05: Verificar referência inicial concomitante para uma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64A02" w:rsidRPr="00E6659E" w:rsidRDefault="00364A02" w:rsidP="00364A02">
      <w:pPr>
        <w:pStyle w:val="Sumrio1"/>
      </w:pPr>
      <w:r w:rsidRPr="00E6659E">
        <w:fldChar w:fldCharType="end"/>
      </w:r>
    </w:p>
    <w:p w:rsidR="00364A02" w:rsidRPr="00E6659E" w:rsidRDefault="00364A02" w:rsidP="00364A02">
      <w:pPr>
        <w:widowControl w:val="0"/>
        <w:rPr>
          <w:rFonts w:cs="Arial"/>
          <w:b/>
          <w:bCs/>
          <w:color w:val="000000"/>
        </w:rPr>
      </w:pPr>
    </w:p>
    <w:p w:rsidR="00364A02" w:rsidRPr="00E6659E" w:rsidRDefault="00364A02" w:rsidP="00364A02">
      <w:pPr>
        <w:pStyle w:val="Heading"/>
        <w:rPr>
          <w:rFonts w:cs="Arial"/>
          <w:szCs w:val="24"/>
          <w:lang w:val="pt-BR"/>
        </w:rPr>
      </w:pPr>
    </w:p>
    <w:p w:rsidR="00364A02" w:rsidRPr="00E6659E" w:rsidRDefault="00364A02" w:rsidP="00364A02">
      <w:pPr>
        <w:pStyle w:val="Heading"/>
      </w:pPr>
    </w:p>
    <w:p w:rsidR="00364A02" w:rsidRPr="00E6659E" w:rsidRDefault="00364A02" w:rsidP="00364A02">
      <w:pPr>
        <w:pStyle w:val="Heading"/>
        <w:jc w:val="center"/>
      </w:pPr>
    </w:p>
    <w:p w:rsidR="00364A02" w:rsidRPr="00E6659E" w:rsidRDefault="00364A02" w:rsidP="00364A02">
      <w:pPr>
        <w:pStyle w:val="Heading"/>
        <w:rPr>
          <w:rFonts w:cs="Arial"/>
          <w:szCs w:val="24"/>
          <w:lang w:val="pt-BR"/>
        </w:rPr>
      </w:pPr>
      <w:r w:rsidRPr="00E6659E">
        <w:br w:type="page"/>
      </w:r>
    </w:p>
    <w:p w:rsidR="00364A02" w:rsidRPr="00E6659E" w:rsidRDefault="00364A02" w:rsidP="00364A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0" w:name="_Toc404530926"/>
      <w:r w:rsidRPr="00E6659E">
        <w:lastRenderedPageBreak/>
        <w:t>Pacote/Caso de Uso</w:t>
      </w:r>
      <w:bookmarkEnd w:id="0"/>
    </w:p>
    <w:p w:rsidR="00364A02" w:rsidRPr="00E6659E" w:rsidRDefault="00364A02" w:rsidP="00364A02"/>
    <w:p w:rsidR="00364A02" w:rsidRPr="00E6659E" w:rsidRDefault="00364A02" w:rsidP="00364A02">
      <w:pPr>
        <w:widowControl w:val="0"/>
        <w:ind w:left="360"/>
        <w:rPr>
          <w:rFonts w:cs="Arial"/>
          <w:b/>
          <w:bCs/>
          <w:color w:val="000080"/>
          <w:sz w:val="28"/>
        </w:rPr>
      </w:pPr>
      <w:r w:rsidRPr="00E6659E">
        <w:rPr>
          <w:rFonts w:cs="Arial"/>
          <w:b/>
          <w:bCs/>
          <w:color w:val="000080"/>
          <w:sz w:val="28"/>
        </w:rPr>
        <w:t>Manter Indicadores de Vale Transporte no Órgão</w:t>
      </w:r>
    </w:p>
    <w:p w:rsidR="00364A02" w:rsidRPr="00E6659E" w:rsidRDefault="00364A02" w:rsidP="00364A02">
      <w:pPr>
        <w:widowControl w:val="0"/>
        <w:ind w:left="902"/>
        <w:rPr>
          <w:rFonts w:cs="Arial"/>
          <w:b/>
          <w:bCs/>
          <w:color w:val="FF0000"/>
        </w:rPr>
      </w:pPr>
    </w:p>
    <w:p w:rsidR="00364A02" w:rsidRPr="00E6659E" w:rsidRDefault="00364A02" w:rsidP="00E30667">
      <w:pPr>
        <w:pStyle w:val="Ttulo2"/>
      </w:pPr>
      <w:bookmarkStart w:id="1" w:name="_Toc404530927"/>
      <w:r w:rsidRPr="00E6659E">
        <w:t>Descrição</w:t>
      </w:r>
      <w:bookmarkEnd w:id="1"/>
    </w:p>
    <w:p w:rsidR="00364A02" w:rsidRPr="00E6659E" w:rsidRDefault="00364A02" w:rsidP="00364A02">
      <w:pPr>
        <w:pStyle w:val="Recuodecorpodetexto2"/>
        <w:widowControl w:val="0"/>
        <w:ind w:left="1620" w:firstLine="0"/>
        <w:rPr>
          <w:sz w:val="24"/>
        </w:rPr>
      </w:pPr>
    </w:p>
    <w:p w:rsidR="00364A02" w:rsidRPr="00E6659E" w:rsidRDefault="00364A02" w:rsidP="00364A02">
      <w:pPr>
        <w:pStyle w:val="Recuodecorpodetexto2"/>
        <w:widowControl w:val="0"/>
        <w:ind w:left="1260" w:firstLine="0"/>
        <w:rPr>
          <w:sz w:val="24"/>
        </w:rPr>
      </w:pPr>
      <w:r w:rsidRPr="00E6659E">
        <w:rPr>
          <w:sz w:val="24"/>
        </w:rPr>
        <w:t xml:space="preserve">Pacote responsável por agrupar os casos de uso de manutenção de </w:t>
      </w:r>
      <w:r>
        <w:rPr>
          <w:sz w:val="24"/>
        </w:rPr>
        <w:t xml:space="preserve">indicadores </w:t>
      </w:r>
      <w:r w:rsidRPr="00E6659E">
        <w:rPr>
          <w:sz w:val="24"/>
        </w:rPr>
        <w:t xml:space="preserve">de vale transporte no Órgão. </w:t>
      </w:r>
    </w:p>
    <w:p w:rsidR="00364A02" w:rsidRPr="00E6659E" w:rsidRDefault="00364A02" w:rsidP="00364A02">
      <w:pPr>
        <w:pStyle w:val="Recuodecorpodetexto2"/>
        <w:widowControl w:val="0"/>
        <w:ind w:left="1620" w:firstLine="0"/>
        <w:rPr>
          <w:sz w:val="24"/>
        </w:rPr>
      </w:pPr>
    </w:p>
    <w:p w:rsidR="00364A02" w:rsidRPr="00E6659E" w:rsidRDefault="00364A02" w:rsidP="00E30667">
      <w:pPr>
        <w:pStyle w:val="Ttulo2"/>
      </w:pPr>
      <w:bookmarkStart w:id="2" w:name="_Toc404530928"/>
      <w:r w:rsidRPr="00E6659E">
        <w:t>Requisitos atendidos</w:t>
      </w:r>
      <w:bookmarkEnd w:id="2"/>
    </w:p>
    <w:p w:rsidR="00364A02" w:rsidRPr="00E6659E" w:rsidRDefault="00364A02" w:rsidP="00364A02">
      <w:pPr>
        <w:pStyle w:val="Recuodecorpodetexto"/>
        <w:ind w:left="1260"/>
      </w:pPr>
      <w:r w:rsidRPr="00E6659E">
        <w:t>R12: Definir Indicadores de Vale Transporte para o Órgão</w:t>
      </w:r>
    </w:p>
    <w:p w:rsidR="00364A02" w:rsidRPr="00E6659E" w:rsidRDefault="00364A02" w:rsidP="00364A02"/>
    <w:p w:rsidR="00364A02" w:rsidRPr="00E6659E" w:rsidRDefault="00364A02" w:rsidP="00364A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" w:name="_Toc404530929"/>
      <w:r w:rsidRPr="00E6659E">
        <w:t>Conceito</w:t>
      </w:r>
      <w:bookmarkEnd w:id="3"/>
      <w:r w:rsidRPr="00E6659E">
        <w:tab/>
      </w:r>
    </w:p>
    <w:p w:rsidR="00364A02" w:rsidRPr="00E6659E" w:rsidRDefault="00364A02" w:rsidP="00364A02"/>
    <w:p w:rsidR="00364A02" w:rsidRPr="00E6659E" w:rsidRDefault="00364A02" w:rsidP="00E30667">
      <w:pPr>
        <w:pStyle w:val="Ttulo2"/>
      </w:pPr>
      <w:bookmarkStart w:id="4" w:name="_Toc404530930"/>
      <w:r w:rsidRPr="00E6659E">
        <w:t>Conceitos principais</w:t>
      </w:r>
      <w:bookmarkEnd w:id="4"/>
    </w:p>
    <w:p w:rsidR="00364A02" w:rsidRPr="00E6659E" w:rsidRDefault="00364A02" w:rsidP="00364A02">
      <w:pPr>
        <w:pStyle w:val="Cabealho"/>
        <w:ind w:left="360"/>
        <w:rPr>
          <w:rFonts w:cs="Arial"/>
        </w:rPr>
      </w:pPr>
      <w:r w:rsidRPr="00E6659E">
        <w:rPr>
          <w:rFonts w:cs="Arial"/>
        </w:rPr>
        <w:t>Indicadores de Vale Transporte no Órgão</w:t>
      </w:r>
    </w:p>
    <w:p w:rsidR="00364A02" w:rsidRPr="00E6659E" w:rsidRDefault="00364A02" w:rsidP="00364A02">
      <w:pPr>
        <w:rPr>
          <w:rFonts w:cs="Arial"/>
        </w:rPr>
      </w:pPr>
    </w:p>
    <w:p w:rsidR="00364A02" w:rsidRPr="00E6659E" w:rsidRDefault="00364A02" w:rsidP="00E30667">
      <w:pPr>
        <w:pStyle w:val="Ttulo2"/>
      </w:pPr>
      <w:bookmarkStart w:id="5" w:name="_Toc404530931"/>
      <w:r w:rsidRPr="00E6659E">
        <w:t>Conceitos associados</w:t>
      </w:r>
      <w:bookmarkEnd w:id="5"/>
    </w:p>
    <w:p w:rsidR="00364A02" w:rsidRPr="00E6659E" w:rsidRDefault="00364A02" w:rsidP="00364A02">
      <w:pPr>
        <w:pStyle w:val="Cabealho"/>
        <w:ind w:left="709" w:firstLine="709"/>
        <w:rPr>
          <w:rFonts w:cs="Arial"/>
        </w:rPr>
      </w:pPr>
      <w:r w:rsidRPr="00E6659E">
        <w:rPr>
          <w:rFonts w:cs="Arial"/>
        </w:rPr>
        <w:t>Órgão</w:t>
      </w:r>
    </w:p>
    <w:p w:rsidR="00364A02" w:rsidRPr="00E6659E" w:rsidRDefault="00364A02" w:rsidP="00364A02">
      <w:pPr>
        <w:pStyle w:val="Cabealho"/>
        <w:ind w:firstLine="360"/>
        <w:rPr>
          <w:rFonts w:cs="Arial"/>
        </w:rPr>
      </w:pPr>
    </w:p>
    <w:p w:rsidR="00364A02" w:rsidRPr="00E6659E" w:rsidRDefault="00364A02" w:rsidP="00364A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E6659E">
        <w:rPr>
          <w:b w:val="0"/>
          <w:bCs w:val="0"/>
        </w:rPr>
        <w:br w:type="page"/>
      </w:r>
      <w:bookmarkStart w:id="6" w:name="_Toc404530932"/>
      <w:r w:rsidRPr="00E6659E">
        <w:lastRenderedPageBreak/>
        <w:t>Diagrama</w:t>
      </w:r>
      <w:bookmarkEnd w:id="6"/>
    </w:p>
    <w:p w:rsidR="00364A02" w:rsidRPr="00E6659E" w:rsidRDefault="00364A02" w:rsidP="00364A0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64A02" w:rsidRPr="00E6659E" w:rsidRDefault="00364A02" w:rsidP="00E30667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42642E0F" wp14:editId="1847C34D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14500" y="457200"/>
                            <a:ext cx="1846580" cy="695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672840" y="457200"/>
                            <a:ext cx="1721485" cy="542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847850" y="1546861"/>
                            <a:ext cx="1750695" cy="5207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747770" y="1561465"/>
                            <a:ext cx="1653540" cy="591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842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4A02" w:rsidRDefault="00364A02" w:rsidP="00E30667">
                              <w:pPr>
                                <w:ind w:left="142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0" name="Line 16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7"/>
                        <wps:cNvCnPr/>
                        <wps:spPr bwMode="auto">
                          <a:xfrm flipH="1">
                            <a:off x="3270885" y="1040765"/>
                            <a:ext cx="551180" cy="57277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"/>
                        <wps:cNvCnPr/>
                        <wps:spPr bwMode="auto">
                          <a:xfrm flipV="1">
                            <a:off x="3270885" y="1546860"/>
                            <a:ext cx="22225" cy="6667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9"/>
                        <wps:cNvCnPr/>
                        <wps:spPr bwMode="auto">
                          <a:xfrm flipV="1">
                            <a:off x="3270885" y="1591310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270885" y="1146810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4A02" w:rsidRDefault="00364A02" w:rsidP="00364A02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5" name="Freeform 21"/>
                        <wps:cNvSpPr>
                          <a:spLocks/>
                        </wps:cNvSpPr>
                        <wps:spPr bwMode="auto">
                          <a:xfrm>
                            <a:off x="3107055" y="2044700"/>
                            <a:ext cx="1423035" cy="215900"/>
                          </a:xfrm>
                          <a:custGeom>
                            <a:avLst/>
                            <a:gdLst>
                              <a:gd name="T0" fmla="*/ 2241 w 2241"/>
                              <a:gd name="T1" fmla="*/ 36 h 340"/>
                              <a:gd name="T2" fmla="*/ 2241 w 2241"/>
                              <a:gd name="T3" fmla="*/ 340 h 340"/>
                              <a:gd name="T4" fmla="*/ 0 w 2241"/>
                              <a:gd name="T5" fmla="*/ 340 h 340"/>
                              <a:gd name="T6" fmla="*/ 0 w 2241"/>
                              <a:gd name="T7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2"/>
                        <wps:cNvCnPr/>
                        <wps:spPr bwMode="auto">
                          <a:xfrm flipH="1">
                            <a:off x="3077210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3"/>
                        <wps:cNvCnPr/>
                        <wps:spPr bwMode="auto">
                          <a:xfrm>
                            <a:off x="3107055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613785" y="2290445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4A02" w:rsidRDefault="00364A02" w:rsidP="00364A02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447800" y="609599"/>
                            <a:ext cx="182753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4A02" w:rsidRPr="00B80D8F" w:rsidRDefault="00364A02" w:rsidP="00364A02">
                              <w:pPr>
                                <w:jc w:val="center"/>
                              </w:pP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Incluir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Indicadores de Vale Transporte no 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255645" y="601980"/>
                            <a:ext cx="19113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4A02" w:rsidRPr="00B80D8F" w:rsidRDefault="00364A02" w:rsidP="00364A02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Alterar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Indicadores de Vale Transporte no Órgão</w:t>
                              </w:r>
                            </w:p>
                            <w:p w:rsidR="00364A02" w:rsidRPr="00377876" w:rsidRDefault="00364A02" w:rsidP="00364A0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447800" y="1661160"/>
                            <a:ext cx="199136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4A02" w:rsidRPr="00B80D8F" w:rsidRDefault="00364A02" w:rsidP="00364A02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Listar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Indicadores de Vale Transporte no Órgão</w:t>
                              </w:r>
                            </w:p>
                            <w:p w:rsidR="00364A02" w:rsidRPr="00377876" w:rsidRDefault="00364A02" w:rsidP="00364A0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439160" y="1661160"/>
                            <a:ext cx="1779270" cy="49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4A02" w:rsidRPr="00B80D8F" w:rsidRDefault="00364A02" w:rsidP="00364A02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Excluir Indicadores de Vale Transporte no Órgão</w:t>
                              </w:r>
                            </w:p>
                            <w:p w:rsidR="00364A02" w:rsidRPr="00377876" w:rsidRDefault="00364A02" w:rsidP="00364A0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3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7145;top:4572;width:18465;height:6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6728;top:4572;width:17215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oval id="Oval 8" o:spid="_x0000_s1032" style="position:absolute;left:18478;top:15468;width:17507;height:5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oval id="Oval 9" o:spid="_x0000_s1033" style="position:absolute;left:37477;top:15614;width:16536;height:5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oval id="Oval 10" o:spid="_x0000_s1034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1" o:spid="_x0000_s1035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2" o:spid="_x0000_s1036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3" o:spid="_x0000_s1037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4" o:spid="_x0000_s1038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5" o:spid="_x0000_s1039" style="position:absolute;left:444;top:9220;width:5842;height:1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4PVcMA&#10;AADbAAAADwAAAGRycy9kb3ducmV2LnhtbERPTWvCQBC9F/wPywi9FN3UQ0nSrCKC4EGQxB7qbchO&#10;s2mzsyG7Nam/vlsoeJvH+5xiM9lOXGnwrWMFz8sEBHHtdMuNgrfzfpGC8AFZY+eYFPyQh8169lBg&#10;rt3IJV2r0IgYwj5HBSaEPpfS14Ys+qXriSP34QaLIcKhkXrAMYbbTq6S5EVabDk2GOxpZ6j+qr6t&#10;gv3pvSW+yfIpS0f3Wa8ulTn2Sj3Op+0riEBTuIv/3Qcd52fw90s8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4PVcMAAADbAAAADwAAAAAAAAAAAAAAAACYAgAAZHJzL2Rv&#10;d25yZXYueG1sUEsFBgAAAAAEAAQA9QAAAIgDAAAAAA==&#10;" filled="f" stroked="f">
                  <v:textbox style="mso-fit-shape-to-text:t" inset="0,0,0,0">
                    <w:txbxContent>
                      <w:p w:rsidR="00364A02" w:rsidRDefault="00364A02" w:rsidP="00E30667">
                        <w:pPr>
                          <w:ind w:left="142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</w:p>
                    </w:txbxContent>
                  </v:textbox>
                </v:rect>
                <v:line id="Line 16" o:spid="_x0000_s1040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ee1L8AAADbAAAADwAAAGRycy9kb3ducmV2LnhtbERPTWvCQBC9C/0PyxS8iG4UKTXNRmqh&#10;6FUttMchO82GZmdjdjXpv+8chB4f77vYjr5VN+pjE9jAcpGBIq6Cbbg28HF+nz+DignZYhuYDPxS&#10;hG35MCkwt2HgI91OqVYSwjFHAy6lLtc6Vo48xkXoiIX7Dr3HJLCvte1xkHDf6lWWPWmPDUuDw47e&#10;HFU/p6s3sPr0gz0v7WW9aa9u9zUQ78PMmOnj+PoCKtGY/sV398GKT9bLF/kBuv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Hee1L8AAADbAAAADwAAAAAAAAAAAAAAAACh&#10;AgAAZHJzL2Rvd25yZXYueG1sUEsFBgAAAAAEAAQA+QAAAI0DAAAAAA==&#10;" strokecolor="#903" strokeweight=".6pt"/>
                <v:line id="Line 17" o:spid="_x0000_s1041" style="position:absolute;flip:x;visibility:visible;mso-wrap-style:square" from="32708,10407" to="3822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2l6sQAAADbAAAADwAAAGRycy9kb3ducmV2LnhtbESPQWvCQBSE74X+h+UVvBTdmIOV1FVK&#10;RfFgD2opeHtkn0lo9m3IPnX9965Q6HGYmW+Y2SK6Vl2oD41nA+NRBoq49LbhysD3YTWcggqCbLH1&#10;TAZuFGAxf36aYWH9lXd02UulEoRDgQZqka7QOpQ1OQwj3xEn7+R7h5JkX2nb4zXBXavzLJtohw2n&#10;hRo7+qyp/N2fnYG3tWyPh+Ynvu7yr5PoJS5XcWLM4CV+vIMSivIf/mtvrIF8DI8v6Qfo+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7aXqxAAAANsAAAAPAAAAAAAAAAAA&#10;AAAAAKECAABkcnMvZG93bnJldi54bWxQSwUGAAAAAAQABAD5AAAAkgMAAAAA&#10;" strokecolor="#903" strokeweight=".6pt">
                  <v:stroke dashstyle="1 1"/>
                </v:line>
                <v:line id="Line 18" o:spid="_x0000_s1042" style="position:absolute;flip:y;visibility:visible;mso-wrap-style:square" from="32708,15468" to="32931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J8UMIAAADbAAAADwAAAGRycy9kb3ducmV2LnhtbESP0WoCMRRE3wv9h3CFvtWsW9CyNbtI&#10;acFXrR9wm9xuVjc32yTV1a83QsHHYWbOMMtmdL04UoidZwWzaQGCWHvTcatg9/X5/AoiJmSDvWdS&#10;cKYITf34sMTK+BNv6LhNrcgQjhUqsCkNlZRRW3IYp34gzt6PDw5TlqGVJuApw10vy6KYS4cd5wWL&#10;A71b0oftn1OwCB/D5nt+KfSCZt1+HeyvfhmVepqMqzcQicZ0D/+310ZBWcLtS/4Bsr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BJ8UMIAAADbAAAADwAAAAAAAAAAAAAA&#10;AAChAgAAZHJzL2Rvd25yZXYueG1sUEsFBgAAAAAEAAQA+QAAAJADAAAAAA==&#10;" strokecolor="#903" strokeweight=".6pt"/>
                <v:line id="Line 19" o:spid="_x0000_s1043" style="position:absolute;flip:y;visibility:visible;mso-wrap-style:square" from="32708,15913" to="333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7Zy8EAAADbAAAADwAAAGRycy9kb3ducmV2LnhtbESP0WoCMRRE3wv+Q7iCbzWrgspqFJEK&#10;vmr7Adfkulnd3KxJqqtf3xQKfRxm5gyzXHeuEXcKsfasYDQsQBBrb2quFHx97t7nIGJCNth4JgVP&#10;irBe9d6WWBr/4APdj6kSGcKxRAU2pbaUMmpLDuPQt8TZO/vgMGUZKmkCPjLcNXJcFFPpsOa8YLGl&#10;rSV9PX47BbPw0R5O01ehZzSqL/tgb3rSKTXod5sFiERd+g//tfdGwXgCv1/yD5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XtnLwQAAANsAAAAPAAAAAAAAAAAAAAAA&#10;AKECAABkcnMvZG93bnJldi54bWxQSwUGAAAAAAQABAD5AAAAjwMAAAAA&#10;" strokecolor="#903" strokeweight=".6pt"/>
                <v:rect id="Rectangle 20" o:spid="_x0000_s1044" style="position:absolute;left:32708;top:11468;width:96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364A02" w:rsidRDefault="00364A02" w:rsidP="00364A02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1" o:spid="_x0000_s1045" style="position:absolute;left:31070;top:20447;width:14230;height:2159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YC9cYA&#10;AADbAAAADwAAAGRycy9kb3ducmV2LnhtbESPT2sCMRTE7wW/Q3iCt5ootpStUUQU/xyUags9Pjav&#10;u1s3L+smuttvb4SCx2FmfsOMp60txZVqXzjWMOgrEMSpMwVnGj6Py+c3ED4gGywdk4Y/8jCddJ7G&#10;mBjX8AddDyETEcI+QQ15CFUipU9zsuj7riKO3o+rLYYo60yaGpsIt6UcKvUqLRYcF3KsaJ5Tejpc&#10;rIbRRtmz2jar4ut3dzzv96P5Yvutda/bzt5BBGrDI/zfXhsNwxe4f4k/QE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hYC9cYAAADbAAAADwAAAAAAAAAAAAAAAACYAgAAZHJz&#10;L2Rvd25yZXYueG1sUEsFBgAAAAAEAAQA9QAAAIsDAAAAAA==&#10;" path="m2241,36r,304l,340,,e" filled="f" strokecolor="#903" strokeweight=".6pt">
                  <v:stroke dashstyle="1 1"/>
                  <v:path arrowok="t" o:connecttype="custom" o:connectlocs="1423035,22860;1423035,215900;0,215900;0,0" o:connectangles="0,0,0,0"/>
                </v:shape>
                <v:line id="Line 22" o:spid="_x0000_s1046" style="position:absolute;flip:x;visibility:visible;mso-wrap-style:square" from="30772,20447" to="31070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l6U8EAAADbAAAADwAAAGRycy9kb3ducmV2LnhtbESP0WoCMRRE3wv+Q7iCbzWrwlpWo0ip&#10;4Ku2H3CbXDerm5s1ibr69U2h0MdhZs4wy3XvWnGjEBvPCibjAgSx9qbhWsHX5/b1DURMyAZbz6Tg&#10;QRHWq8HLEivj77yn2yHVIkM4VqjAptRVUkZtyWEc+444e0cfHKYsQy1NwHuGu1ZOi6KUDhvOCxY7&#10;erekz4erUzAPH93+u3wWek6T5rQL9qJnvVKjYb9ZgEjUp//wX3tnFExL+P2Sf4Bc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KXpTwQAAANsAAAAPAAAAAAAAAAAAAAAA&#10;AKECAABkcnMvZG93bnJldi54bWxQSwUGAAAAAAQABAD5AAAAjwMAAAAA&#10;" strokecolor="#903" strokeweight=".6pt"/>
                <v:line id="Line 23" o:spid="_x0000_s1047" style="position:absolute;visibility:visible;mso-wrap-style:square" from="31070,20447" to="31369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54GoMIAAADbAAAADwAAAGRycy9kb3ducmV2LnhtbESPQWsCMRSE7wX/Q3iCl6LZldLqalxa&#10;obTXqqDHx+a5Wdy8rJtotv++KRR6HGa+GWZdDrYVd+p941hBPstAEFdON1wrOOzfpwsQPiBrbB2T&#10;gm/yUG5GD2sstIv8RfddqEUqYV+gAhNCV0jpK0MW/cx1xMk7u95iSLKvpe4xpnLbynmWPUuLDacF&#10;gx1tDVWX3c0qmB9t1PtcX5+W7c28nSLxh3tUajIeXlcgAg3hP/xHf+rEvcDvl/QD5O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54GoMIAAADbAAAADwAAAAAAAAAAAAAA&#10;AAChAgAAZHJzL2Rvd25yZXYueG1sUEsFBgAAAAAEAAQA+QAAAJADAAAAAA==&#10;" strokecolor="#903" strokeweight=".6pt"/>
                <v:rect id="Rectangle 24" o:spid="_x0000_s1048" style="position:absolute;left:36137;top:22904;width:96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364A02" w:rsidRDefault="00364A02" w:rsidP="00364A02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5" o:spid="_x0000_s1049" style="position:absolute;left:14478;top:6095;width:18275;height: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364A02" w:rsidRPr="00B80D8F" w:rsidRDefault="00364A02" w:rsidP="00364A02">
                        <w:pPr>
                          <w:jc w:val="center"/>
                        </w:pP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Incluir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Indicadores de Vale Transporte no Órgão</w:t>
                        </w:r>
                      </w:p>
                    </w:txbxContent>
                  </v:textbox>
                </v:rect>
                <v:rect id="Rectangle 26" o:spid="_x0000_s1050" style="position:absolute;left:32556;top:6019;width:19113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364A02" w:rsidRPr="00B80D8F" w:rsidRDefault="00364A02" w:rsidP="00364A02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Alterar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Indicadores de Vale Transporte no Órgão</w:t>
                        </w:r>
                      </w:p>
                      <w:p w:rsidR="00364A02" w:rsidRPr="00377876" w:rsidRDefault="00364A02" w:rsidP="00364A02"/>
                    </w:txbxContent>
                  </v:textbox>
                </v:rect>
                <v:rect id="Rectangle 27" o:spid="_x0000_s1051" style="position:absolute;left:14478;top:16611;width:19913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364A02" w:rsidRPr="00B80D8F" w:rsidRDefault="00364A02" w:rsidP="00364A02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Listar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Indicadores de Vale Transporte no Órgão</w:t>
                        </w:r>
                      </w:p>
                      <w:p w:rsidR="00364A02" w:rsidRPr="00377876" w:rsidRDefault="00364A02" w:rsidP="00364A02"/>
                    </w:txbxContent>
                  </v:textbox>
                </v:rect>
                <v:rect id="Rectangle 28" o:spid="_x0000_s1052" style="position:absolute;left:34391;top:16611;width:17793;height:49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364A02" w:rsidRPr="00B80D8F" w:rsidRDefault="00364A02" w:rsidP="00364A02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Excluir Indicadores de Vale Transporte no Órgão</w:t>
                        </w:r>
                      </w:p>
                      <w:p w:rsidR="00364A02" w:rsidRPr="00377876" w:rsidRDefault="00364A02" w:rsidP="00364A02"/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 wp14:anchorId="141C3040" wp14:editId="1873C179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364A02" w:rsidRPr="00E6659E" w:rsidRDefault="00364A02" w:rsidP="00364A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GoBack"/>
      <w:bookmarkEnd w:id="7"/>
      <w:r w:rsidRPr="00E6659E">
        <w:rPr>
          <w:b w:val="0"/>
          <w:bCs w:val="0"/>
        </w:rPr>
        <w:br w:type="page"/>
      </w:r>
      <w:bookmarkStart w:id="8" w:name="_Toc404530933"/>
      <w:r w:rsidRPr="00E6659E">
        <w:lastRenderedPageBreak/>
        <w:t>Casos de Uso</w:t>
      </w:r>
      <w:bookmarkEnd w:id="8"/>
    </w:p>
    <w:p w:rsidR="00364A02" w:rsidRPr="003C5D98" w:rsidRDefault="00364A02" w:rsidP="00E30667">
      <w:pPr>
        <w:pStyle w:val="Ttulo2"/>
      </w:pPr>
      <w:bookmarkStart w:id="9" w:name="_Toc404530934"/>
      <w:r w:rsidRPr="003C5D98">
        <w:t>Incluir Indicadores de Vale Transporte no Órgão</w:t>
      </w:r>
      <w:bookmarkEnd w:id="9"/>
      <w:r w:rsidRPr="003C5D98">
        <w:t xml:space="preserve">  </w:t>
      </w:r>
    </w:p>
    <w:p w:rsidR="00364A02" w:rsidRPr="00E6659E" w:rsidRDefault="00364A02" w:rsidP="00364A02">
      <w:pPr>
        <w:pStyle w:val="Ttulo3"/>
        <w:keepNext w:val="0"/>
        <w:widowControl w:val="0"/>
        <w:spacing w:before="120" w:line="240" w:lineRule="auto"/>
      </w:pPr>
      <w:bookmarkStart w:id="10" w:name="_Toc404530935"/>
      <w:r w:rsidRPr="00E6659E">
        <w:t>Fluxo Básico</w:t>
      </w:r>
      <w:bookmarkEnd w:id="10"/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 xml:space="preserve">O ator solicita a funcionalidade de manutenção de Indicadores de Vale Transporte no Órgão e seleciona </w:t>
      </w:r>
      <w:proofErr w:type="gramStart"/>
      <w:r w:rsidRPr="00E6659E">
        <w:t>a opção novo</w:t>
      </w:r>
      <w:proofErr w:type="gramEnd"/>
      <w:r w:rsidRPr="00E6659E">
        <w:t>.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>O sistema apresenta o formulário de indicadores com a sigla e nome do órgão do ator.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>O ator informa o mês e ano inicial da referência inicial.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>O ator define os indicadores e submete a operação de inclusão.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>O sistema executa as seguintes regras de negócios: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>- RN01: Verificar existência de indicadores para o Órgão.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 xml:space="preserve">O sistema inclui um registro de indicador de vale transporte para o órgão do ator. 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 xml:space="preserve">O sistema inclui um histórico do indicador (vigência) com as informações fornecidas pelo ator. 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6659E">
        <w:t>O sistema processa a operação exibe a mensagem MSG0050 ("Inclusão efetuada com sucesso!").</w:t>
      </w:r>
    </w:p>
    <w:p w:rsidR="00364A02" w:rsidRPr="0044119E" w:rsidRDefault="00364A02" w:rsidP="00E30667">
      <w:pPr>
        <w:pStyle w:val="Ttulo2"/>
      </w:pPr>
      <w:bookmarkStart w:id="11" w:name="_Toc404530936"/>
      <w:r w:rsidRPr="0044119E">
        <w:t>Alterar Indicadores de Vale Transporte no Órgão</w:t>
      </w:r>
      <w:bookmarkEnd w:id="11"/>
      <w:r w:rsidRPr="0044119E">
        <w:t xml:space="preserve">  </w:t>
      </w:r>
    </w:p>
    <w:p w:rsidR="00364A02" w:rsidRPr="00E6659E" w:rsidRDefault="00364A02" w:rsidP="00364A02">
      <w:pPr>
        <w:pStyle w:val="Ttulo3"/>
        <w:keepNext w:val="0"/>
        <w:widowControl w:val="0"/>
        <w:spacing w:before="120" w:line="240" w:lineRule="auto"/>
      </w:pPr>
      <w:bookmarkStart w:id="12" w:name="_Toc404530937"/>
      <w:r w:rsidRPr="00E6659E">
        <w:t>Fluxo Básico</w:t>
      </w:r>
      <w:bookmarkEnd w:id="12"/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vanish/>
        </w:rPr>
        <w:t xml:space="preserve">UCS54 </w:t>
      </w:r>
      <w:r w:rsidRPr="0044119E">
        <w:t xml:space="preserve">O ator executa o caso de uso Listar Indicadores de Vale Transporte no Órgão, identifica um item e seleciona a opção de alteração. 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 xml:space="preserve">O sistema apresenta as informações principais do indicador de vale transporte no </w:t>
      </w:r>
      <w:proofErr w:type="gramStart"/>
      <w:r w:rsidRPr="0044119E">
        <w:t>órgão identificada pelo ator</w:t>
      </w:r>
      <w:proofErr w:type="gramEnd"/>
      <w:r w:rsidRPr="0044119E">
        <w:t xml:space="preserve">. 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 xml:space="preserve">O ator altera as informações e submete a operação de alteração. 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>O sistema executa as seguintes regras de negócios: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> </w:t>
      </w:r>
      <w:r w:rsidRPr="0044119E">
        <w:noBreakHyphen/>
        <w:t> RN03: Verificar última vigência para alteração.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> </w:t>
      </w:r>
      <w:r w:rsidRPr="0044119E">
        <w:noBreakHyphen/>
        <w:t> RN05: Verificar referência inicial concomitante para uma alteração.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> </w:t>
      </w:r>
      <w:r w:rsidRPr="0044119E">
        <w:noBreakHyphen/>
        <w:t> RN02: Verificar folha de pagamento normal.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 xml:space="preserve">O sistema identifica que é uma alteração do tipo </w:t>
      </w:r>
      <w:r w:rsidRPr="0044119E">
        <w:rPr>
          <w:b/>
        </w:rPr>
        <w:t>retificadora</w:t>
      </w:r>
      <w:r w:rsidRPr="0044119E">
        <w:t>, então executa as seguintes tarefas: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 xml:space="preserve">– altera as informações do histórico do indicador recebido. 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>– altera a referência final da vigência anterior para um mês/ano inferior à vigência alterada, caso o ator tenha alterado a referência inicial (mês e ano inicial).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 xml:space="preserve">O sistema identifica que é uma alteração do tipo </w:t>
      </w:r>
      <w:r w:rsidRPr="0044119E">
        <w:rPr>
          <w:b/>
        </w:rPr>
        <w:t>criar nova vigência</w:t>
      </w:r>
      <w:r w:rsidRPr="0044119E">
        <w:t>, então executa as seguintes tarefas: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 xml:space="preserve"> – inclui um novo histórico do indicador com as informações recebidas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lastRenderedPageBreak/>
        <w:t>– altera a referência final (ano e mês final) da vigência anterior, subtraindo um mês com relação à referência inicial da nova vigência, caso exista.</w:t>
      </w:r>
    </w:p>
    <w:p w:rsidR="00364A02" w:rsidRPr="0044119E" w:rsidRDefault="00364A02" w:rsidP="00364A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44119E">
        <w:t>O sistema processa a operação e exibe a mensagem MSG0051 ("Alteração efetuada com sucesso!").</w:t>
      </w:r>
    </w:p>
    <w:p w:rsidR="00364A02" w:rsidRPr="00E6659E" w:rsidRDefault="00364A02" w:rsidP="00E30667">
      <w:pPr>
        <w:pStyle w:val="Ttulo2"/>
      </w:pPr>
      <w:bookmarkStart w:id="13" w:name="_Toc404530938"/>
      <w:r w:rsidRPr="0044119E">
        <w:t>Excluir Indicadores de Vale Transporte no Órgão</w:t>
      </w:r>
      <w:bookmarkEnd w:id="13"/>
      <w:r w:rsidRPr="00E6659E">
        <w:t xml:space="preserve"> </w:t>
      </w:r>
    </w:p>
    <w:p w:rsidR="00364A02" w:rsidRPr="00E6659E" w:rsidRDefault="00364A02" w:rsidP="00364A02">
      <w:pPr>
        <w:pStyle w:val="Ttulo3"/>
        <w:keepNext w:val="0"/>
        <w:widowControl w:val="0"/>
        <w:spacing w:before="120" w:line="240" w:lineRule="auto"/>
      </w:pPr>
      <w:bookmarkStart w:id="14" w:name="_Toc404530939"/>
      <w:r w:rsidRPr="00E6659E">
        <w:t>Fluxo Básico</w:t>
      </w:r>
      <w:bookmarkEnd w:id="14"/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 xml:space="preserve">O ator executa o caso de uso Listar Indicadores de Vale Transporte no Órgão, identifica um item e seleciona a opção excluir. 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>O sistema executa as regras de negócios: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>- RN04: Verificar última vigência para exclusão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>- RN02: Verificar folha de pagamento normal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 xml:space="preserve">O sistema exclui o histórico do indicador de vale transporte selecionado. 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 xml:space="preserve">O sistema exclui o indicador de vale transporte, caso seja o único histórico. 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 xml:space="preserve">O sistema identifica que existe uma vigência anterior ativa, então exclui a referência final desta. 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>O sistema processa a operação e exibe a mensagem MSG0052 ("Exclusão efetuada com sucesso!").</w:t>
      </w:r>
    </w:p>
    <w:p w:rsidR="00364A02" w:rsidRPr="0044119E" w:rsidRDefault="00364A02" w:rsidP="00E30667">
      <w:pPr>
        <w:pStyle w:val="Ttulo2"/>
      </w:pPr>
      <w:bookmarkStart w:id="15" w:name="_Toc404530940"/>
      <w:r w:rsidRPr="0044119E">
        <w:t>Listar Indicadores de Vale Transporte no Órgão</w:t>
      </w:r>
      <w:bookmarkEnd w:id="15"/>
      <w:r w:rsidRPr="0044119E">
        <w:t xml:space="preserve">  </w:t>
      </w:r>
    </w:p>
    <w:p w:rsidR="00364A02" w:rsidRPr="00E6659E" w:rsidRDefault="00364A02" w:rsidP="00364A02">
      <w:pPr>
        <w:pStyle w:val="Ttulo3"/>
        <w:keepNext w:val="0"/>
        <w:widowControl w:val="0"/>
        <w:spacing w:before="120" w:line="240" w:lineRule="auto"/>
      </w:pPr>
      <w:bookmarkStart w:id="16" w:name="_Toc404530941"/>
      <w:r w:rsidRPr="00E6659E">
        <w:t>Fluxo Básico</w:t>
      </w:r>
      <w:bookmarkEnd w:id="16"/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>O ator solicita a funcionalidade de manutenção de Indicadores de Vale Transporte no Órgão.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 xml:space="preserve">O sistema apresenta o formulário de listagem com a opção de vigência selecionada para todos. 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>O ator escolhe a opção de vigência submete a operação.</w:t>
      </w:r>
    </w:p>
    <w:p w:rsidR="00364A02" w:rsidRPr="00E6659E" w:rsidRDefault="00364A02" w:rsidP="00364A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6659E">
        <w:t>O sistema exibe uma lista de indicadores de vale transporte para o órgão do ator, conforme a opção de vigência selecionada, ordenados cronologicamente inversos pela referência inicial de vigência (os mais recentes primeiro).</w:t>
      </w:r>
    </w:p>
    <w:p w:rsidR="00364A02" w:rsidRPr="00E6659E" w:rsidRDefault="00364A02" w:rsidP="00364A02">
      <w:pPr>
        <w:pStyle w:val="Recuodecorpodetexto"/>
      </w:pPr>
    </w:p>
    <w:p w:rsidR="00364A02" w:rsidRPr="00E6659E" w:rsidRDefault="00364A02" w:rsidP="00364A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7" w:name="_Toc206930793"/>
      <w:r w:rsidRPr="00E6659E">
        <w:br w:type="page"/>
      </w:r>
      <w:bookmarkStart w:id="18" w:name="_Toc404530942"/>
      <w:r w:rsidRPr="00E6659E">
        <w:lastRenderedPageBreak/>
        <w:t>Anexos</w:t>
      </w:r>
      <w:bookmarkEnd w:id="18"/>
    </w:p>
    <w:p w:rsidR="00364A02" w:rsidRPr="00E6659E" w:rsidRDefault="00364A02" w:rsidP="00E30667">
      <w:pPr>
        <w:pStyle w:val="Ttulo2"/>
      </w:pPr>
      <w:bookmarkStart w:id="19" w:name="_Toc404530943"/>
      <w:r w:rsidRPr="00E6659E">
        <w:t>Regras de Negócios</w:t>
      </w:r>
      <w:bookmarkEnd w:id="17"/>
      <w:bookmarkEnd w:id="19"/>
    </w:p>
    <w:p w:rsidR="00364A02" w:rsidRPr="00E6659E" w:rsidRDefault="00364A02" w:rsidP="00364A02">
      <w:pPr>
        <w:pStyle w:val="Ttulo3"/>
        <w:keepNext w:val="0"/>
        <w:widowControl w:val="0"/>
        <w:spacing w:before="120" w:line="240" w:lineRule="auto"/>
      </w:pPr>
      <w:bookmarkStart w:id="20" w:name="_Toc404530944"/>
      <w:r w:rsidRPr="00E6659E">
        <w:t>RN01: Verificar existência de indicadores para o Órgão.</w:t>
      </w:r>
      <w:bookmarkEnd w:id="20"/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 xml:space="preserve">O sistema identifica que já existe registro de indicador de vale transporte para ó órgão do ator, então levanta exceção com a mensagem MSG0022: “Já existe registro cadastrado com </w:t>
      </w:r>
      <w:proofErr w:type="gramStart"/>
      <w:r w:rsidRPr="00E6659E">
        <w:rPr>
          <w:rFonts w:cs="Arial"/>
        </w:rPr>
        <w:t>este(</w:t>
      </w:r>
      <w:proofErr w:type="gramEnd"/>
      <w:r w:rsidRPr="00E6659E">
        <w:rPr>
          <w:rFonts w:cs="Arial"/>
        </w:rPr>
        <w:t>a) %1.”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 xml:space="preserve">Exemplo: “Já existe registro cadastrado com </w:t>
      </w:r>
      <w:proofErr w:type="gramStart"/>
      <w:r w:rsidRPr="00E6659E">
        <w:rPr>
          <w:rFonts w:cs="Arial"/>
        </w:rPr>
        <w:t>este(</w:t>
      </w:r>
      <w:proofErr w:type="gramEnd"/>
      <w:r w:rsidRPr="00E6659E">
        <w:rPr>
          <w:rFonts w:cs="Arial"/>
        </w:rPr>
        <w:t>a) indicador de vale transporte no órgão.”</w:t>
      </w:r>
    </w:p>
    <w:p w:rsidR="00364A02" w:rsidRPr="00E6659E" w:rsidRDefault="00364A02" w:rsidP="00364A02"/>
    <w:p w:rsidR="00364A02" w:rsidRPr="00E6659E" w:rsidRDefault="00364A02" w:rsidP="00364A02">
      <w:pPr>
        <w:pStyle w:val="Ttulo3"/>
        <w:keepNext w:val="0"/>
        <w:widowControl w:val="0"/>
        <w:spacing w:before="120" w:line="240" w:lineRule="auto"/>
      </w:pPr>
      <w:bookmarkStart w:id="21" w:name="_Toc404530945"/>
      <w:r w:rsidRPr="00E6659E">
        <w:t>RN02: Verificar folha de pagamento normal</w:t>
      </w:r>
      <w:bookmarkEnd w:id="21"/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>O sistema identificou que o auxílio alimentação é por pecúnia, então verifica existência de folha de pagamento normal, conforme a operação: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>- Inclusão: folha calculada no órgão no ano e mês da referência inicial.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 xml:space="preserve">- Alteração: caso a referência não tenha sido alterada, usar os mesmos parâmetros da inclusão; 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 xml:space="preserve">Caso a data referência inicial tenha sido alterada, considerar o novo período e/ou o período desconsiderado. 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 xml:space="preserve">- Exclusão: Considerar a referência inicial da vigência a ser excluída. 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>Caso o sistema identifique que a folha foi calculada, exibe a mensagem MSG0791: “Folha de pagamento não calculada definitivamente”.</w:t>
      </w:r>
    </w:p>
    <w:p w:rsidR="00364A02" w:rsidRPr="00E6659E" w:rsidRDefault="00364A02" w:rsidP="00364A02">
      <w:pPr>
        <w:ind w:left="1620"/>
        <w:rPr>
          <w:rFonts w:cs="Arial"/>
        </w:rPr>
      </w:pPr>
    </w:p>
    <w:p w:rsidR="00364A02" w:rsidRPr="00E6659E" w:rsidRDefault="00364A02" w:rsidP="00364A02">
      <w:pPr>
        <w:pStyle w:val="Ttulo3"/>
        <w:keepNext w:val="0"/>
        <w:widowControl w:val="0"/>
        <w:numPr>
          <w:ilvl w:val="2"/>
          <w:numId w:val="18"/>
        </w:numPr>
        <w:tabs>
          <w:tab w:val="clear" w:pos="1440"/>
          <w:tab w:val="num" w:pos="1512"/>
        </w:tabs>
        <w:spacing w:before="120" w:line="240" w:lineRule="auto"/>
      </w:pPr>
      <w:bookmarkStart w:id="22" w:name="_Toc226024910"/>
      <w:bookmarkStart w:id="23" w:name="_Toc404530946"/>
      <w:r w:rsidRPr="00E6659E">
        <w:t>RN03: Verificar última vigência para alteração</w:t>
      </w:r>
      <w:bookmarkEnd w:id="22"/>
      <w:bookmarkEnd w:id="23"/>
    </w:p>
    <w:p w:rsidR="00364A02" w:rsidRPr="0015147B" w:rsidRDefault="00364A02" w:rsidP="00364A02">
      <w:pPr>
        <w:ind w:left="1620"/>
        <w:rPr>
          <w:rFonts w:cs="Arial"/>
          <w:highlight w:val="cyan"/>
        </w:rPr>
      </w:pPr>
      <w:r w:rsidRPr="0015147B">
        <w:rPr>
          <w:rFonts w:cs="Arial"/>
          <w:highlight w:val="cyan"/>
        </w:rPr>
        <w:t xml:space="preserve">O sistema identifica que a vigência do </w:t>
      </w:r>
      <w:r>
        <w:rPr>
          <w:rFonts w:cs="Arial"/>
          <w:highlight w:val="cyan"/>
        </w:rPr>
        <w:t xml:space="preserve">valor </w:t>
      </w:r>
      <w:r w:rsidRPr="0015147B">
        <w:rPr>
          <w:rFonts w:cs="Arial"/>
          <w:highlight w:val="cyan"/>
        </w:rPr>
        <w:t>selecionada pelo ator não é a última ativa</w:t>
      </w:r>
      <w:r>
        <w:rPr>
          <w:rFonts w:cs="Arial"/>
          <w:highlight w:val="cyan"/>
        </w:rPr>
        <w:t xml:space="preserve"> para uma alteração</w:t>
      </w:r>
      <w:r w:rsidRPr="0015147B">
        <w:rPr>
          <w:rFonts w:cs="Arial"/>
          <w:highlight w:val="cyan"/>
        </w:rPr>
        <w:t xml:space="preserve">, então levanta exceção com a mensagem MSG0618: “Não é possível </w:t>
      </w:r>
      <w:r w:rsidRPr="0015147B">
        <w:rPr>
          <w:rFonts w:cs="Arial"/>
          <w:highlight w:val="cyan"/>
        </w:rPr>
        <w:lastRenderedPageBreak/>
        <w:t>&lt;nome_operacao&gt; uma vigência que não seja a última vigência ativa.";</w:t>
      </w:r>
    </w:p>
    <w:p w:rsidR="00364A02" w:rsidRPr="00E6659E" w:rsidRDefault="00364A02" w:rsidP="00364A02">
      <w:pPr>
        <w:ind w:left="1620"/>
        <w:rPr>
          <w:rFonts w:cs="Arial"/>
        </w:rPr>
      </w:pPr>
      <w:r w:rsidRPr="00C51F6C">
        <w:rPr>
          <w:rFonts w:cs="Arial"/>
          <w:highlight w:val="cyan"/>
        </w:rPr>
        <w:t xml:space="preserve">Exemplo: “Não é possível </w:t>
      </w:r>
      <w:r w:rsidRPr="00C51F6C">
        <w:rPr>
          <w:rFonts w:cs="Arial"/>
          <w:highlight w:val="cyan"/>
          <w:u w:val="single"/>
        </w:rPr>
        <w:t>alterar</w:t>
      </w:r>
      <w:r w:rsidRPr="00C51F6C">
        <w:rPr>
          <w:rFonts w:cs="Arial"/>
          <w:highlight w:val="cyan"/>
        </w:rPr>
        <w:t xml:space="preserve"> uma vigência que não seja a última vigência ativa.";</w:t>
      </w:r>
    </w:p>
    <w:p w:rsidR="00364A02" w:rsidRPr="00E6659E" w:rsidRDefault="00364A02" w:rsidP="00364A02">
      <w:pPr>
        <w:ind w:left="1620"/>
        <w:rPr>
          <w:rFonts w:cs="Arial"/>
        </w:rPr>
      </w:pPr>
    </w:p>
    <w:p w:rsidR="00364A02" w:rsidRPr="00E6659E" w:rsidRDefault="00364A02" w:rsidP="00364A02">
      <w:pPr>
        <w:pStyle w:val="Ttulo3"/>
        <w:keepNext w:val="0"/>
        <w:widowControl w:val="0"/>
        <w:numPr>
          <w:ilvl w:val="2"/>
          <w:numId w:val="18"/>
        </w:numPr>
        <w:tabs>
          <w:tab w:val="clear" w:pos="1440"/>
          <w:tab w:val="num" w:pos="1512"/>
        </w:tabs>
        <w:spacing w:before="120" w:line="240" w:lineRule="auto"/>
      </w:pPr>
      <w:bookmarkStart w:id="24" w:name="_Toc404530947"/>
      <w:r w:rsidRPr="00E6659E">
        <w:t>RN04: Verificar última vigência para Exclusão</w:t>
      </w:r>
      <w:bookmarkEnd w:id="24"/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>O sistema identifica que a vigência do indicador selecionada pelo ator não é a última ativa, então levanta exceção com a mensagem MSG0618: “Não é possível &lt;nome_operacao&gt; uma vigência que não seja a última vigência ativa.";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 xml:space="preserve">Exemplo: “Não é possível </w:t>
      </w:r>
      <w:r w:rsidRPr="00E6659E">
        <w:rPr>
          <w:rFonts w:cs="Arial"/>
          <w:u w:val="single"/>
        </w:rPr>
        <w:t>excluir</w:t>
      </w:r>
      <w:r w:rsidRPr="00E6659E">
        <w:rPr>
          <w:rFonts w:cs="Arial"/>
        </w:rPr>
        <w:t xml:space="preserve"> uma vigência que não seja a última vigência ativa.";</w:t>
      </w:r>
    </w:p>
    <w:p w:rsidR="00364A02" w:rsidRPr="00E6659E" w:rsidRDefault="00364A02" w:rsidP="00364A02">
      <w:pPr>
        <w:ind w:left="1620"/>
        <w:rPr>
          <w:rFonts w:cs="Arial"/>
        </w:rPr>
      </w:pPr>
    </w:p>
    <w:p w:rsidR="00364A02" w:rsidRPr="00E6659E" w:rsidRDefault="00364A02" w:rsidP="00364A02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25" w:name="_Toc226024908"/>
      <w:bookmarkStart w:id="26" w:name="_Toc404530948"/>
      <w:r w:rsidRPr="00E6659E">
        <w:t>RN05:</w:t>
      </w:r>
      <w:bookmarkEnd w:id="25"/>
      <w:r w:rsidRPr="00E24F15">
        <w:t xml:space="preserve"> Verificar </w:t>
      </w:r>
      <w:r>
        <w:t>referência inicial concomitante para uma alteração</w:t>
      </w:r>
      <w:bookmarkEnd w:id="26"/>
    </w:p>
    <w:p w:rsidR="00364A02" w:rsidRPr="00E6659E" w:rsidRDefault="00364A02" w:rsidP="00364A02">
      <w:pPr>
        <w:ind w:left="1620"/>
        <w:rPr>
          <w:rFonts w:cs="Arial"/>
          <w:b/>
        </w:rPr>
      </w:pPr>
      <w:r w:rsidRPr="00E6659E">
        <w:rPr>
          <w:rFonts w:cs="Arial"/>
          <w:b/>
        </w:rPr>
        <w:t>// Alteração: nova vigência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>Caso a operação seja uma alteração, do tipo criar Nova vigência, o sistema verifica se existe outra vigência ativa com referência inicial inferior ou igual ao da nova vigência. Caso exista, o sistema levanta exceção com a mensagem MSG1278: “O mês/ano inicial da vigência deve ser maior que o mês/ano inicial da vigência atual.</w:t>
      </w:r>
      <w:proofErr w:type="gramStart"/>
      <w:r w:rsidRPr="00E6659E">
        <w:rPr>
          <w:rFonts w:cs="Arial"/>
        </w:rPr>
        <w:t>"</w:t>
      </w:r>
      <w:proofErr w:type="gramEnd"/>
    </w:p>
    <w:p w:rsidR="00364A02" w:rsidRPr="00E6659E" w:rsidRDefault="00364A02" w:rsidP="00364A02">
      <w:pPr>
        <w:ind w:left="1620"/>
        <w:rPr>
          <w:rFonts w:cs="Arial"/>
        </w:rPr>
      </w:pPr>
    </w:p>
    <w:p w:rsidR="00364A02" w:rsidRPr="00E6659E" w:rsidRDefault="00364A02" w:rsidP="00364A02">
      <w:pPr>
        <w:ind w:left="1620"/>
        <w:rPr>
          <w:rFonts w:cs="Arial"/>
          <w:b/>
        </w:rPr>
      </w:pPr>
      <w:r w:rsidRPr="00E6659E">
        <w:rPr>
          <w:rFonts w:cs="Arial"/>
          <w:b/>
        </w:rPr>
        <w:t>// Alteração: retificação</w:t>
      </w:r>
    </w:p>
    <w:p w:rsidR="00364A02" w:rsidRPr="00E6659E" w:rsidRDefault="00364A02" w:rsidP="00364A02">
      <w:pPr>
        <w:ind w:left="1620"/>
        <w:rPr>
          <w:rFonts w:cs="Arial"/>
        </w:rPr>
      </w:pPr>
      <w:r w:rsidRPr="00E6659E">
        <w:rPr>
          <w:rFonts w:cs="Arial"/>
        </w:rPr>
        <w:t xml:space="preserve">Caso a operação seja uma alteração do tipo retificadora, o sistema verifica se a referência inicial é inferior ou igual </w:t>
      </w:r>
      <w:proofErr w:type="gramStart"/>
      <w:r w:rsidRPr="00E6659E">
        <w:rPr>
          <w:rFonts w:cs="Arial"/>
        </w:rPr>
        <w:t>à</w:t>
      </w:r>
      <w:proofErr w:type="gramEnd"/>
      <w:r w:rsidRPr="00E6659E">
        <w:rPr>
          <w:rFonts w:cs="Arial"/>
        </w:rPr>
        <w:t xml:space="preserve"> uma outra vigência ativa do indicador de vale transporte do órgão. Caso encontre, o sistema levanta exceção com a mensagem MSG1279: “O mês/ano inicial do(s) &lt;nome do conceito&gt;não pode ser inferior ou igual ao mês/ano inicial da vigência anterior ativa.</w:t>
      </w:r>
      <w:r w:rsidR="00E30667" w:rsidRPr="00E6659E">
        <w:rPr>
          <w:rFonts w:cs="Arial"/>
        </w:rPr>
        <w:t>”.</w:t>
      </w:r>
    </w:p>
    <w:p w:rsidR="00364A02" w:rsidRPr="00E6659E" w:rsidRDefault="00364A02" w:rsidP="00364A02"/>
    <w:sectPr w:rsidR="00364A02" w:rsidRPr="00E6659E" w:rsidSect="00E30667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56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A02" w:rsidRDefault="00364A02" w:rsidP="002908D9">
      <w:r>
        <w:separator/>
      </w:r>
    </w:p>
  </w:endnote>
  <w:endnote w:type="continuationSeparator" w:id="0">
    <w:p w:rsidR="00364A02" w:rsidRDefault="00364A0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30667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64A0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64A0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3066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64A02">
            <w:rPr>
              <w:b/>
              <w:sz w:val="20"/>
              <w:szCs w:val="20"/>
            </w:rPr>
            <w:t>Vale Transporte</w:t>
          </w:r>
          <w:r w:rsidR="00E30667">
            <w:rPr>
              <w:b/>
              <w:sz w:val="20"/>
              <w:szCs w:val="20"/>
            </w:rPr>
            <w:t xml:space="preserve"> – Indicadores - </w:t>
          </w:r>
          <w:r w:rsidR="00E30667" w:rsidRPr="00E30667">
            <w:rPr>
              <w:b/>
              <w:sz w:val="20"/>
              <w:szCs w:val="20"/>
            </w:rPr>
            <w:t>UCS0388 - Indicadores de vale transporte.doc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AF950CB" wp14:editId="499D63A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A02" w:rsidRDefault="00364A02" w:rsidP="002908D9">
      <w:r>
        <w:separator/>
      </w:r>
    </w:p>
  </w:footnote>
  <w:footnote w:type="continuationSeparator" w:id="0">
    <w:p w:rsidR="00364A02" w:rsidRDefault="00364A0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E30667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05284FCB" wp14:editId="7689E1BB">
          <wp:simplePos x="0" y="0"/>
          <wp:positionH relativeFrom="column">
            <wp:posOffset>4257675</wp:posOffset>
          </wp:positionH>
          <wp:positionV relativeFrom="paragraph">
            <wp:posOffset>-130810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41BC4CC" wp14:editId="58598CD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E7CFFEC" wp14:editId="1C730F8D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33DC77E" wp14:editId="641B00C4">
          <wp:simplePos x="0" y="0"/>
          <wp:positionH relativeFrom="column">
            <wp:posOffset>4505325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E4CE31B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A0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64A02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99E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30667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4A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64A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30667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64A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64A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64A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64A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64A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64A02"/>
    <w:pPr>
      <w:ind w:left="0"/>
    </w:pPr>
  </w:style>
  <w:style w:type="paragraph" w:styleId="ndicedeilustraes">
    <w:name w:val="table of figures"/>
    <w:basedOn w:val="Normal"/>
    <w:next w:val="Normal"/>
    <w:semiHidden/>
    <w:rsid w:val="00364A02"/>
  </w:style>
  <w:style w:type="paragraph" w:styleId="Sumrio2">
    <w:name w:val="toc 2"/>
    <w:basedOn w:val="Normal"/>
    <w:next w:val="Normal"/>
    <w:autoRedefine/>
    <w:uiPriority w:val="39"/>
    <w:rsid w:val="00364A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64A02"/>
    <w:pPr>
      <w:ind w:left="480"/>
    </w:pPr>
  </w:style>
  <w:style w:type="character" w:styleId="Hyperlink">
    <w:name w:val="Hyperlink"/>
    <w:basedOn w:val="Fontepargpadro"/>
    <w:uiPriority w:val="99"/>
    <w:rsid w:val="00364A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64A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64A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64A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64A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64A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64A02"/>
    <w:rPr>
      <w:sz w:val="16"/>
    </w:rPr>
  </w:style>
  <w:style w:type="character" w:styleId="Nmerodepgina">
    <w:name w:val="page number"/>
    <w:basedOn w:val="Fontepargpadro"/>
    <w:rsid w:val="00364A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64A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64A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64A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64A02"/>
  </w:style>
  <w:style w:type="paragraph" w:styleId="Corpodetexto">
    <w:name w:val="Body Text"/>
    <w:basedOn w:val="Normal"/>
    <w:link w:val="CorpodetextoChar"/>
    <w:rsid w:val="00364A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64A02"/>
    <w:rPr>
      <w:rFonts w:eastAsia="Arial Unicode MS"/>
    </w:rPr>
  </w:style>
  <w:style w:type="paragraph" w:customStyle="1" w:styleId="tabletext">
    <w:name w:val="tabletext"/>
    <w:basedOn w:val="Normal"/>
    <w:rsid w:val="00364A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64A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64A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64A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64A0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64A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64A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64A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64A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64A0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4A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64A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30667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64A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64A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64A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64A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64A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64A02"/>
    <w:pPr>
      <w:ind w:left="0"/>
    </w:pPr>
  </w:style>
  <w:style w:type="paragraph" w:styleId="ndicedeilustraes">
    <w:name w:val="table of figures"/>
    <w:basedOn w:val="Normal"/>
    <w:next w:val="Normal"/>
    <w:semiHidden/>
    <w:rsid w:val="00364A02"/>
  </w:style>
  <w:style w:type="paragraph" w:styleId="Sumrio2">
    <w:name w:val="toc 2"/>
    <w:basedOn w:val="Normal"/>
    <w:next w:val="Normal"/>
    <w:autoRedefine/>
    <w:uiPriority w:val="39"/>
    <w:rsid w:val="00364A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64A02"/>
    <w:pPr>
      <w:ind w:left="480"/>
    </w:pPr>
  </w:style>
  <w:style w:type="character" w:styleId="Hyperlink">
    <w:name w:val="Hyperlink"/>
    <w:basedOn w:val="Fontepargpadro"/>
    <w:uiPriority w:val="99"/>
    <w:rsid w:val="00364A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64A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64A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64A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64A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64A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64A02"/>
    <w:rPr>
      <w:sz w:val="16"/>
    </w:rPr>
  </w:style>
  <w:style w:type="character" w:styleId="Nmerodepgina">
    <w:name w:val="page number"/>
    <w:basedOn w:val="Fontepargpadro"/>
    <w:rsid w:val="00364A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64A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64A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64A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64A02"/>
  </w:style>
  <w:style w:type="paragraph" w:styleId="Corpodetexto">
    <w:name w:val="Body Text"/>
    <w:basedOn w:val="Normal"/>
    <w:link w:val="CorpodetextoChar"/>
    <w:rsid w:val="00364A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64A02"/>
    <w:rPr>
      <w:rFonts w:eastAsia="Arial Unicode MS"/>
    </w:rPr>
  </w:style>
  <w:style w:type="paragraph" w:customStyle="1" w:styleId="tabletext">
    <w:name w:val="tabletext"/>
    <w:basedOn w:val="Normal"/>
    <w:rsid w:val="00364A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64A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64A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64A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64A0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64A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64A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64A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64A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64A0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6D3495-7559-4F91-9FD5-731E16DB7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1196</Words>
  <Characters>7674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2014-11-09T03:43:00Z</cp:lastPrinted>
  <dcterms:created xsi:type="dcterms:W3CDTF">2014-11-09T03:42:00Z</dcterms:created>
  <dcterms:modified xsi:type="dcterms:W3CDTF">2014-11-23T20:33:00Z</dcterms:modified>
</cp:coreProperties>
</file>