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B268C5">
        <w:t>765</w:t>
      </w:r>
      <w:r w:rsidR="0084167A">
        <w:t xml:space="preserve"> </w:t>
      </w:r>
      <w:r>
        <w:t xml:space="preserve">– </w:t>
      </w:r>
      <w:r w:rsidR="00B268C5">
        <w:t>Banco de Horas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268C5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1077" w:history="1">
        <w:r w:rsidR="00B268C5" w:rsidRPr="00E9197B">
          <w:rPr>
            <w:rStyle w:val="Hyperlink"/>
            <w:noProof/>
          </w:rPr>
          <w:t>1.</w:t>
        </w:r>
        <w:r w:rsidR="00B268C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B268C5" w:rsidRPr="00E9197B">
          <w:rPr>
            <w:rStyle w:val="Hyperlink"/>
            <w:noProof/>
          </w:rPr>
          <w:t>Pacote/Caso de Uso</w:t>
        </w:r>
        <w:r w:rsidR="00B268C5">
          <w:rPr>
            <w:noProof/>
            <w:webHidden/>
          </w:rPr>
          <w:tab/>
        </w:r>
        <w:r w:rsidR="00B268C5">
          <w:rPr>
            <w:noProof/>
            <w:webHidden/>
          </w:rPr>
          <w:fldChar w:fldCharType="begin"/>
        </w:r>
        <w:r w:rsidR="00B268C5">
          <w:rPr>
            <w:noProof/>
            <w:webHidden/>
          </w:rPr>
          <w:instrText xml:space="preserve"> PAGEREF _Toc73541077 \h </w:instrText>
        </w:r>
        <w:r w:rsidR="00B268C5">
          <w:rPr>
            <w:noProof/>
            <w:webHidden/>
          </w:rPr>
        </w:r>
        <w:r w:rsidR="00B268C5">
          <w:rPr>
            <w:noProof/>
            <w:webHidden/>
          </w:rPr>
          <w:fldChar w:fldCharType="separate"/>
        </w:r>
        <w:r w:rsidR="00B268C5">
          <w:rPr>
            <w:noProof/>
            <w:webHidden/>
          </w:rPr>
          <w:t>4</w:t>
        </w:r>
        <w:r w:rsidR="00B268C5"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78" w:history="1">
        <w:r w:rsidRPr="00E9197B">
          <w:rPr>
            <w:rStyle w:val="Hyperlink"/>
            <w:noProof/>
          </w:rPr>
          <w:t>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79" w:history="1">
        <w:r w:rsidRPr="00E9197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0" w:history="1">
        <w:r w:rsidRPr="00E919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1" w:history="1">
        <w:r w:rsidRPr="00E9197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2" w:history="1">
        <w:r w:rsidRPr="00E9197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3" w:history="1">
        <w:r w:rsidRPr="00E9197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4" w:history="1">
        <w:r w:rsidRPr="00E9197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5" w:history="1">
        <w:r w:rsidRPr="00E9197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Consultar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6" w:history="1">
        <w:r w:rsidRPr="00E9197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7" w:history="1">
        <w:r w:rsidRPr="00E9197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8" w:history="1">
        <w:r w:rsidRPr="00E9197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89" w:history="1">
        <w:r w:rsidRPr="00E9197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90" w:history="1">
        <w:r w:rsidRPr="00E9197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268C5" w:rsidRDefault="00B268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1091" w:history="1">
        <w:r w:rsidRPr="00E9197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E9197B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541077"/>
      <w:r>
        <w:lastRenderedPageBreak/>
        <w:t>Pacote/Caso de Uso</w:t>
      </w:r>
      <w:bookmarkEnd w:id="1"/>
    </w:p>
    <w:p w:rsidR="00AE2BF8" w:rsidRDefault="00AE2BF8" w:rsidP="00AE2BF8"/>
    <w:p w:rsidR="00AE2BF8" w:rsidRDefault="00B268C5" w:rsidP="00232F60">
      <w:pPr>
        <w:pStyle w:val="Subttulo"/>
      </w:pPr>
      <w:bookmarkStart w:id="2" w:name="_Toc73541078"/>
      <w:r>
        <w:t>Banco de Horas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541079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B268C5" w:rsidP="00AC4062">
      <w:pPr>
        <w:pStyle w:val="Cabealho"/>
        <w:ind w:left="0"/>
        <w:jc w:val="left"/>
        <w:rPr>
          <w:rFonts w:cs="Arial"/>
        </w:rPr>
      </w:pPr>
      <w:r w:rsidRPr="00B268C5">
        <w:rPr>
          <w:rFonts w:cs="Arial"/>
        </w:rPr>
        <w:t>Pacote responsável por agrupar os casos de uso de Banco de Horas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541080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541081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1082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1083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B268C5" w:rsidP="00B268C5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682750" cy="1002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1084"/>
      <w:r>
        <w:lastRenderedPageBreak/>
        <w:t>Casos de Uso</w:t>
      </w:r>
      <w:bookmarkEnd w:id="8"/>
    </w:p>
    <w:p w:rsidR="00B268C5" w:rsidRPr="00B268C5" w:rsidRDefault="00B268C5" w:rsidP="00B268C5">
      <w:pPr>
        <w:pStyle w:val="Ttulo2"/>
      </w:pPr>
      <w:bookmarkStart w:id="9" w:name="_Toc73541085"/>
      <w:r w:rsidRPr="00B268C5">
        <w:t>Consultar Banco de Horas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41086"/>
      <w:r>
        <w:t>Fluxo Básico</w:t>
      </w:r>
      <w:bookmarkEnd w:id="10"/>
    </w:p>
    <w:p w:rsidR="00B268C5" w:rsidRDefault="00B268C5" w:rsidP="00B268C5">
      <w:pPr>
        <w:pStyle w:val="Ttulo4"/>
      </w:pPr>
      <w:r>
        <w:t>O ator seleciona a funcionalidade "Consultar Banco de Horas";</w:t>
      </w:r>
    </w:p>
    <w:p w:rsidR="00B268C5" w:rsidRDefault="00B268C5" w:rsidP="00B268C5">
      <w:pPr>
        <w:pStyle w:val="Ttulo4"/>
      </w:pPr>
      <w:r>
        <w:t>O sistema exibe a tela da funcionalidade com síntese do banco de horas e formulário para seleção do intervalo de consulta;</w:t>
      </w:r>
    </w:p>
    <w:p w:rsidR="00B268C5" w:rsidRDefault="00B268C5" w:rsidP="00B268C5">
      <w:pPr>
        <w:pStyle w:val="Ttulo4"/>
      </w:pPr>
      <w:r>
        <w:t>O ator preenche as informações e submete a consulta;</w:t>
      </w:r>
    </w:p>
    <w:p w:rsidR="00AE2BF8" w:rsidRDefault="00B268C5" w:rsidP="00B268C5">
      <w:pPr>
        <w:pStyle w:val="Ttulo4"/>
      </w:pPr>
      <w:r>
        <w:t>O sistema exibe tela com detalhes do banco de horas contendo informações sobre "Ano/Mês referência, UO, Horas Apuradas e Origem".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1087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CA000D" w:rsidRDefault="00AC4062" w:rsidP="00B268C5">
      <w:pPr>
        <w:pStyle w:val="Ttulo4"/>
      </w:pPr>
      <w:r>
        <w:t xml:space="preserve">O sistema exibe a </w:t>
      </w:r>
      <w:r w:rsidR="00B268C5">
        <w:t>tela da funcionalidade</w:t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541088"/>
      <w:r>
        <w:t>Regra de Negócio</w:t>
      </w:r>
      <w:bookmarkEnd w:id="12"/>
    </w:p>
    <w:p w:rsidR="00975CDE" w:rsidRDefault="00B268C5" w:rsidP="00B268C5">
      <w:pPr>
        <w:ind w:left="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541089"/>
      <w:r>
        <w:t>Anexos</w:t>
      </w:r>
      <w:bookmarkEnd w:id="1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541090"/>
      <w:r>
        <w:lastRenderedPageBreak/>
        <w:t>Telas</w:t>
      </w:r>
      <w:bookmarkEnd w:id="1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541091"/>
      <w:r>
        <w:t>Relatório (</w:t>
      </w:r>
      <w:r w:rsidR="00CA000D">
        <w:t>s)</w:t>
      </w:r>
      <w:bookmarkEnd w:id="1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FCE" w:rsidRDefault="00670FCE" w:rsidP="002908D9">
      <w:r>
        <w:separator/>
      </w:r>
    </w:p>
  </w:endnote>
  <w:endnote w:type="continuationSeparator" w:id="0">
    <w:p w:rsidR="00670FCE" w:rsidRDefault="00670FC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B268C5">
            <w:rPr>
              <w:rFonts w:cs="Arial"/>
              <w:noProof/>
              <w:snapToGrid w:val="0"/>
              <w:sz w:val="20"/>
            </w:rPr>
            <w:t>UCS0765 - Banco de Horas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B268C5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FCE" w:rsidRDefault="00670FCE" w:rsidP="002908D9">
      <w:r>
        <w:separator/>
      </w:r>
    </w:p>
  </w:footnote>
  <w:footnote w:type="continuationSeparator" w:id="0">
    <w:p w:rsidR="00670FCE" w:rsidRDefault="00670FC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85E879A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0FCE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268C5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4426CD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68C5"/>
    <w:pPr>
      <w:widowControl w:val="0"/>
      <w:numPr>
        <w:ilvl w:val="3"/>
        <w:numId w:val="17"/>
      </w:numPr>
      <w:ind w:left="2160" w:hanging="1080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68C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745AB-2F6C-42D5-851F-08A28C246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8</TotalTime>
  <Pages>7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2021-06-02T18:44:00Z</dcterms:modified>
</cp:coreProperties>
</file>