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B23" w:rsidRDefault="00504B23" w:rsidP="00504B2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4B23" w:rsidRDefault="00504B23" w:rsidP="00504B23">
      <w:pPr>
        <w:widowControl w:val="0"/>
        <w:rPr>
          <w:rFonts w:cs="Arial"/>
          <w:sz w:val="20"/>
        </w:rPr>
      </w:pPr>
    </w:p>
    <w:p w:rsidR="00504B23" w:rsidRDefault="00504B23" w:rsidP="00504B23">
      <w:pPr>
        <w:widowControl w:val="0"/>
        <w:rPr>
          <w:rFonts w:cs="Arial"/>
          <w:sz w:val="20"/>
        </w:rPr>
      </w:pPr>
    </w:p>
    <w:p w:rsidR="00504B23" w:rsidRDefault="00504B23" w:rsidP="00504B23">
      <w:pPr>
        <w:widowControl w:val="0"/>
        <w:rPr>
          <w:rFonts w:cs="Arial"/>
          <w:sz w:val="20"/>
        </w:rPr>
      </w:pPr>
    </w:p>
    <w:p w:rsidR="00504B23" w:rsidRDefault="00504B23" w:rsidP="00504B23">
      <w:pPr>
        <w:widowControl w:val="0"/>
        <w:rPr>
          <w:rFonts w:cs="Arial"/>
          <w:sz w:val="20"/>
        </w:rPr>
      </w:pPr>
    </w:p>
    <w:p w:rsidR="00504B23" w:rsidRDefault="00504B23" w:rsidP="00504B2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4B23" w:rsidRDefault="00504B23" w:rsidP="00504B23">
      <w:pPr>
        <w:widowControl w:val="0"/>
        <w:rPr>
          <w:rFonts w:cs="Arial"/>
          <w:sz w:val="20"/>
          <w:u w:val="single"/>
        </w:rPr>
      </w:pPr>
    </w:p>
    <w:p w:rsidR="00504B23" w:rsidRDefault="00504B23" w:rsidP="00504B2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4B23" w:rsidRDefault="00504B23" w:rsidP="00504B23">
      <w:pPr>
        <w:widowControl w:val="0"/>
        <w:rPr>
          <w:rFonts w:cs="Arial"/>
          <w:sz w:val="20"/>
        </w:rPr>
      </w:pPr>
    </w:p>
    <w:p w:rsidR="00504B23" w:rsidRDefault="00504B23" w:rsidP="00504B23">
      <w:pPr>
        <w:widowControl w:val="0"/>
        <w:rPr>
          <w:rFonts w:cs="Arial"/>
          <w:sz w:val="20"/>
        </w:rPr>
      </w:pPr>
    </w:p>
    <w:p w:rsidR="00504B23" w:rsidRDefault="00504B23" w:rsidP="00504B23">
      <w:pPr>
        <w:widowControl w:val="0"/>
        <w:rPr>
          <w:rFonts w:cs="Arial"/>
          <w:sz w:val="20"/>
        </w:rPr>
      </w:pPr>
    </w:p>
    <w:p w:rsidR="00504B23" w:rsidRDefault="00504B23" w:rsidP="00504B2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4B23" w:rsidRDefault="00504B23" w:rsidP="00504B23">
      <w:pPr>
        <w:widowControl w:val="0"/>
        <w:rPr>
          <w:rFonts w:cs="Arial"/>
          <w:sz w:val="20"/>
        </w:rPr>
      </w:pPr>
    </w:p>
    <w:p w:rsidR="00504B23" w:rsidRDefault="00504B23" w:rsidP="00504B23">
      <w:pPr>
        <w:widowControl w:val="0"/>
        <w:rPr>
          <w:rFonts w:cs="Arial"/>
          <w:sz w:val="20"/>
        </w:rPr>
      </w:pPr>
    </w:p>
    <w:p w:rsidR="00504B23" w:rsidRDefault="00504B23" w:rsidP="00504B23">
      <w:pPr>
        <w:widowControl w:val="0"/>
        <w:rPr>
          <w:rFonts w:cs="Arial"/>
        </w:rPr>
      </w:pPr>
    </w:p>
    <w:p w:rsidR="00504B23" w:rsidRDefault="00504B23" w:rsidP="00504B23">
      <w:pPr>
        <w:pStyle w:val="Capa"/>
        <w:rPr>
          <w:color w:val="FF9900"/>
        </w:rPr>
      </w:pPr>
      <w:r>
        <w:t>SINDRAPE</w:t>
      </w:r>
    </w:p>
    <w:p w:rsidR="00504B23" w:rsidRDefault="00504B23" w:rsidP="00504B2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04B23" w:rsidRPr="00504B23" w:rsidRDefault="00504B23" w:rsidP="00504B23">
      <w:pPr>
        <w:widowControl w:val="0"/>
        <w:rPr>
          <w:color w:val="000080"/>
        </w:rPr>
      </w:pPr>
    </w:p>
    <w:p w:rsidR="00504B23" w:rsidRPr="00504B23" w:rsidRDefault="00504B23" w:rsidP="00504B23">
      <w:pPr>
        <w:widowControl w:val="0"/>
        <w:jc w:val="right"/>
        <w:rPr>
          <w:rFonts w:cs="Arial"/>
          <w:b/>
          <w:bCs/>
          <w:color w:val="000080"/>
        </w:rPr>
      </w:pPr>
    </w:p>
    <w:p w:rsidR="00504B23" w:rsidRDefault="00504B23" w:rsidP="00504B23">
      <w:pPr>
        <w:pStyle w:val="Capa"/>
      </w:pPr>
      <w:r>
        <w:t>UCS0099</w:t>
      </w:r>
      <w:r w:rsidR="00FB626F">
        <w:t xml:space="preserve"> </w:t>
      </w:r>
      <w:r>
        <w:t>– Manter Período para Comprovação de Dependência Econômica</w:t>
      </w:r>
    </w:p>
    <w:p w:rsidR="00504B23" w:rsidRDefault="00504B23" w:rsidP="00504B23">
      <w:pPr>
        <w:widowControl w:val="0"/>
        <w:rPr>
          <w:rFonts w:cs="Arial"/>
        </w:rPr>
      </w:pPr>
    </w:p>
    <w:p w:rsidR="00504B23" w:rsidRDefault="00504B23" w:rsidP="00504B23">
      <w:pPr>
        <w:widowControl w:val="0"/>
      </w:pPr>
    </w:p>
    <w:p w:rsidR="00504B23" w:rsidRDefault="00504B23" w:rsidP="00504B2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04B23" w:rsidRPr="00504B23" w:rsidRDefault="00504B23" w:rsidP="00504B23">
      <w:pPr>
        <w:pStyle w:val="Corpodetexto3"/>
        <w:widowControl w:val="0"/>
        <w:spacing w:after="0"/>
        <w:rPr>
          <w:rFonts w:cs="Arial"/>
        </w:rPr>
      </w:pPr>
      <w:r w:rsidRPr="00504B23">
        <w:rPr>
          <w:rFonts w:cs="Arial"/>
        </w:rPr>
        <w:lastRenderedPageBreak/>
        <w:t>Histórico de Revisões</w:t>
      </w:r>
    </w:p>
    <w:p w:rsidR="00504B23" w:rsidRDefault="00504B23" w:rsidP="00504B2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504B23" w:rsidTr="00504B2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04B23" w:rsidTr="00504B2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06/03/2008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504B23" w:rsidTr="00504B2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02/07/2008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highlight w:val="green"/>
              </w:rPr>
              <w:t>Alteração da descrição da mensagem 761 que estava incorreta conforme a lista de mensagens já cadastradas.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504B23" w:rsidTr="00504B2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04B23" w:rsidTr="00504B2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04B23" w:rsidRDefault="00504B23" w:rsidP="00504B2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04B23" w:rsidRPr="00504B23" w:rsidRDefault="00504B23" w:rsidP="00504B23">
      <w:pPr>
        <w:pStyle w:val="Corpodetexto3"/>
        <w:widowControl w:val="0"/>
        <w:spacing w:after="0"/>
        <w:jc w:val="left"/>
        <w:rPr>
          <w:rFonts w:cs="Arial"/>
        </w:rPr>
      </w:pPr>
      <w:r w:rsidRPr="00504B23">
        <w:rPr>
          <w:rFonts w:cs="Arial"/>
        </w:rPr>
        <w:lastRenderedPageBreak/>
        <w:t>Índice</w:t>
      </w:r>
    </w:p>
    <w:p w:rsidR="00504B23" w:rsidRPr="00504B23" w:rsidRDefault="00504B23" w:rsidP="00504B23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B626F" w:rsidRDefault="00504B2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3865" w:history="1">
        <w:r w:rsidR="00FB626F" w:rsidRPr="00AB0094">
          <w:rPr>
            <w:rStyle w:val="Hyperlink"/>
            <w:noProof/>
          </w:rPr>
          <w:t>1.</w:t>
        </w:r>
        <w:r w:rsidR="00FB626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B626F" w:rsidRPr="00AB0094">
          <w:rPr>
            <w:rStyle w:val="Hyperlink"/>
            <w:noProof/>
          </w:rPr>
          <w:t>Pacote/Caso de Uso</w:t>
        </w:r>
        <w:r w:rsidR="00FB626F">
          <w:rPr>
            <w:noProof/>
            <w:webHidden/>
          </w:rPr>
          <w:tab/>
        </w:r>
        <w:r w:rsidR="00FB626F">
          <w:rPr>
            <w:noProof/>
            <w:webHidden/>
          </w:rPr>
          <w:fldChar w:fldCharType="begin"/>
        </w:r>
        <w:r w:rsidR="00FB626F">
          <w:rPr>
            <w:noProof/>
            <w:webHidden/>
          </w:rPr>
          <w:instrText xml:space="preserve"> PAGEREF _Toc404613865 \h </w:instrText>
        </w:r>
        <w:r w:rsidR="00FB626F">
          <w:rPr>
            <w:noProof/>
            <w:webHidden/>
          </w:rPr>
        </w:r>
        <w:r w:rsidR="00FB626F">
          <w:rPr>
            <w:noProof/>
            <w:webHidden/>
          </w:rPr>
          <w:fldChar w:fldCharType="separate"/>
        </w:r>
        <w:r w:rsidR="00FB626F">
          <w:rPr>
            <w:noProof/>
            <w:webHidden/>
          </w:rPr>
          <w:t>4</w:t>
        </w:r>
        <w:r w:rsidR="00FB626F"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66" w:history="1">
        <w:r w:rsidRPr="00AB0094">
          <w:rPr>
            <w:rStyle w:val="Hyperlink"/>
            <w:noProof/>
          </w:rPr>
          <w:t>Manter Período para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67" w:history="1">
        <w:r w:rsidRPr="00AB009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68" w:history="1">
        <w:r w:rsidRPr="00AB009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69" w:history="1">
        <w:r w:rsidRPr="00AB009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70" w:history="1">
        <w:r w:rsidRPr="00AB009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71" w:history="1">
        <w:r w:rsidRPr="00AB009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72" w:history="1">
        <w:r w:rsidRPr="00AB009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73" w:history="1">
        <w:r w:rsidRPr="00AB009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74" w:history="1">
        <w:r w:rsidRPr="00AB009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Incluir Período para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75" w:history="1">
        <w:r w:rsidRPr="00AB009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76" w:history="1">
        <w:r w:rsidRPr="00AB009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Alterar Período para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77" w:history="1">
        <w:r w:rsidRPr="00AB009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78" w:history="1">
        <w:r w:rsidRPr="00AB0094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79" w:history="1">
        <w:r w:rsidRPr="00AB009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Excluir Período para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80" w:history="1">
        <w:r w:rsidRPr="00AB009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81" w:history="1">
        <w:r w:rsidRPr="00AB0094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82" w:history="1">
        <w:r w:rsidRPr="00AB009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Listar Período para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83" w:history="1">
        <w:r w:rsidRPr="00AB009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84" w:history="1">
        <w:r w:rsidRPr="00AB0094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85" w:history="1">
        <w:r w:rsidRPr="00AB0094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86" w:history="1">
        <w:r w:rsidRPr="00AB009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B626F" w:rsidRDefault="00FB62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887" w:history="1">
        <w:r w:rsidRPr="00AB009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B009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04B23" w:rsidRDefault="00504B23" w:rsidP="00504B23">
      <w:pPr>
        <w:pStyle w:val="Sumrio1"/>
      </w:pPr>
      <w:r>
        <w:fldChar w:fldCharType="end"/>
      </w:r>
    </w:p>
    <w:p w:rsidR="00504B23" w:rsidRDefault="00504B23" w:rsidP="00504B23">
      <w:pPr>
        <w:widowControl w:val="0"/>
        <w:rPr>
          <w:rFonts w:cs="Arial"/>
          <w:b/>
          <w:bCs/>
          <w:color w:val="000000"/>
        </w:rPr>
      </w:pPr>
    </w:p>
    <w:p w:rsidR="00504B23" w:rsidRDefault="00504B23" w:rsidP="00504B23">
      <w:pPr>
        <w:pStyle w:val="Heading"/>
        <w:rPr>
          <w:rFonts w:cs="Arial"/>
          <w:szCs w:val="24"/>
          <w:lang w:val="pt-BR"/>
        </w:rPr>
      </w:pPr>
    </w:p>
    <w:p w:rsidR="00504B23" w:rsidRDefault="00504B23" w:rsidP="00504B23">
      <w:pPr>
        <w:pStyle w:val="Heading"/>
      </w:pPr>
    </w:p>
    <w:p w:rsidR="00504B23" w:rsidRDefault="00504B23" w:rsidP="00504B23">
      <w:pPr>
        <w:pStyle w:val="Heading"/>
        <w:jc w:val="center"/>
      </w:pPr>
    </w:p>
    <w:p w:rsidR="00504B23" w:rsidRDefault="00504B23" w:rsidP="00504B2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04B23" w:rsidRDefault="00504B23" w:rsidP="00504B2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3865"/>
      <w:r>
        <w:lastRenderedPageBreak/>
        <w:t>Pacote/Caso de Uso</w:t>
      </w:r>
      <w:bookmarkEnd w:id="1"/>
    </w:p>
    <w:p w:rsidR="00504B23" w:rsidRDefault="00504B23" w:rsidP="00504B23"/>
    <w:p w:rsidR="00504B23" w:rsidRDefault="00504B23" w:rsidP="00FB626F">
      <w:pPr>
        <w:pStyle w:val="Subttulo"/>
      </w:pPr>
      <w:bookmarkStart w:id="2" w:name="_Toc404613866"/>
      <w:r>
        <w:t xml:space="preserve">Manter Período para </w:t>
      </w:r>
      <w:r w:rsidR="00FB626F">
        <w:t>C</w:t>
      </w:r>
      <w:r>
        <w:t xml:space="preserve">omprovação de </w:t>
      </w:r>
      <w:r w:rsidR="00FB626F">
        <w:t>D</w:t>
      </w:r>
      <w:r>
        <w:t xml:space="preserve">ependência </w:t>
      </w:r>
      <w:r w:rsidR="00FB626F">
        <w:t>E</w:t>
      </w:r>
      <w:r>
        <w:t>conômica</w:t>
      </w:r>
      <w:bookmarkEnd w:id="2"/>
    </w:p>
    <w:p w:rsidR="00504B23" w:rsidRDefault="00504B23" w:rsidP="00504B23">
      <w:pPr>
        <w:widowControl w:val="0"/>
        <w:ind w:left="902"/>
        <w:rPr>
          <w:rFonts w:cs="Arial"/>
          <w:b/>
          <w:bCs/>
          <w:color w:val="FF0000"/>
        </w:rPr>
      </w:pPr>
    </w:p>
    <w:p w:rsidR="00504B23" w:rsidRDefault="00504B23" w:rsidP="00504B2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13867"/>
      <w:r>
        <w:t>Descrição</w:t>
      </w:r>
      <w:bookmarkEnd w:id="3"/>
    </w:p>
    <w:p w:rsidR="00504B23" w:rsidRDefault="00504B23" w:rsidP="00504B23">
      <w:pPr>
        <w:pStyle w:val="Recuodecorpodetexto2"/>
        <w:widowControl w:val="0"/>
        <w:ind w:left="1620" w:firstLine="0"/>
        <w:rPr>
          <w:sz w:val="24"/>
        </w:rPr>
      </w:pPr>
    </w:p>
    <w:p w:rsidR="00504B23" w:rsidRDefault="00504B23" w:rsidP="00504B23">
      <w:pPr>
        <w:ind w:left="540"/>
        <w:rPr>
          <w:rFonts w:cs="Arial"/>
        </w:rPr>
      </w:pPr>
      <w:r>
        <w:rPr>
          <w:rFonts w:cs="Arial"/>
        </w:rPr>
        <w:t xml:space="preserve">Manter os períodos em que a pessoa (de </w:t>
      </w:r>
      <w:smartTag w:uri="urn:schemas-microsoft-com:office:smarttags" w:element="metricconverter">
        <w:smartTagPr>
          <w:attr w:name="ProductID" w:val="18 a"/>
        </w:smartTagPr>
        <w:r>
          <w:rPr>
            <w:rFonts w:cs="Arial"/>
          </w:rPr>
          <w:t>18 a</w:t>
        </w:r>
      </w:smartTag>
      <w:r>
        <w:rPr>
          <w:rFonts w:cs="Arial"/>
        </w:rPr>
        <w:t xml:space="preserve"> 21 anos) deve comprovar dependência econômica, para continuidade da concessão da pensão previdenciária ou do benefício referido.</w:t>
      </w:r>
    </w:p>
    <w:p w:rsidR="00504B23" w:rsidRDefault="00504B23" w:rsidP="00504B23">
      <w:pPr>
        <w:pStyle w:val="Recuodecorpodetexto2"/>
        <w:widowControl w:val="0"/>
        <w:ind w:left="1620" w:firstLine="0"/>
        <w:rPr>
          <w:sz w:val="24"/>
        </w:rPr>
      </w:pPr>
    </w:p>
    <w:p w:rsidR="00504B23" w:rsidRDefault="00504B23" w:rsidP="00504B2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13868"/>
      <w:r>
        <w:t>Requisitos atendidos</w:t>
      </w:r>
      <w:bookmarkEnd w:id="4"/>
    </w:p>
    <w:p w:rsidR="00504B23" w:rsidRDefault="00504B23" w:rsidP="00504B23"/>
    <w:p w:rsidR="00504B23" w:rsidRDefault="00504B23" w:rsidP="00504B23">
      <w:pPr>
        <w:pStyle w:val="Recuodecorpodetexto"/>
        <w:ind w:left="1260"/>
      </w:pPr>
      <w:r>
        <w:t>R11</w:t>
      </w:r>
    </w:p>
    <w:p w:rsidR="00504B23" w:rsidRDefault="00504B23" w:rsidP="00504B23"/>
    <w:p w:rsidR="00504B23" w:rsidRDefault="00504B23" w:rsidP="00504B23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3869"/>
      <w:r>
        <w:t>Conceito</w:t>
      </w:r>
      <w:bookmarkEnd w:id="5"/>
      <w:r>
        <w:tab/>
      </w:r>
    </w:p>
    <w:p w:rsidR="00504B23" w:rsidRDefault="00504B23" w:rsidP="00504B23"/>
    <w:p w:rsidR="00504B23" w:rsidRDefault="00504B23" w:rsidP="00504B2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3870"/>
      <w:r>
        <w:t>Conceitos principais</w:t>
      </w:r>
      <w:bookmarkEnd w:id="6"/>
    </w:p>
    <w:p w:rsidR="00504B23" w:rsidRDefault="00504B23" w:rsidP="00504B23">
      <w:pPr>
        <w:rPr>
          <w:rFonts w:cs="Arial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5"/>
        <w:gridCol w:w="5469"/>
      </w:tblGrid>
      <w:tr w:rsidR="00504B23" w:rsidTr="00CE0970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504B23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Período de comprovação de dependência econômica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CE0970">
            <w:pPr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 xml:space="preserve">Relação dos períodos em que a pessoa (de </w:t>
            </w:r>
            <w:smartTag w:uri="urn:schemas-microsoft-com:office:smarttags" w:element="metricconverter">
              <w:smartTagPr>
                <w:attr w:name="ProductID" w:val="18 a"/>
              </w:smartTagPr>
              <w:r>
                <w:rPr>
                  <w:rFonts w:cs="Arial"/>
                </w:rPr>
                <w:t>18 a</w:t>
              </w:r>
            </w:smartTag>
            <w:r>
              <w:rPr>
                <w:rFonts w:cs="Arial"/>
              </w:rPr>
              <w:t xml:space="preserve"> 21 anos) deve comprovar dependência econômica, para continuidade da concessão da pensão previdenciária ou do benefício referido.</w:t>
            </w:r>
          </w:p>
        </w:tc>
      </w:tr>
    </w:tbl>
    <w:p w:rsidR="00504B23" w:rsidRDefault="00504B23" w:rsidP="00504B23">
      <w:pPr>
        <w:rPr>
          <w:rFonts w:cs="Arial"/>
        </w:rPr>
      </w:pPr>
    </w:p>
    <w:p w:rsidR="00504B23" w:rsidRDefault="00504B23" w:rsidP="00504B2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13871"/>
      <w:r>
        <w:t>Conceitos associados</w:t>
      </w:r>
      <w:bookmarkEnd w:id="7"/>
    </w:p>
    <w:p w:rsidR="00504B23" w:rsidRDefault="00504B23" w:rsidP="00504B23">
      <w:pPr>
        <w:ind w:firstLine="709"/>
      </w:pPr>
      <w:r>
        <w:t>Não se aplica.</w:t>
      </w:r>
    </w:p>
    <w:p w:rsidR="00504B23" w:rsidRDefault="00504B23" w:rsidP="00FB626F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8" w:name="_Toc404613872"/>
      <w:r>
        <w:lastRenderedPageBreak/>
        <w:t>Diagrama</w:t>
      </w:r>
      <w:bookmarkEnd w:id="8"/>
    </w:p>
    <w:p w:rsidR="00504B23" w:rsidRDefault="00504B23" w:rsidP="00504B2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04B23" w:rsidRDefault="00504B23" w:rsidP="00504B23">
      <w:pPr>
        <w:widowControl w:val="0"/>
        <w:jc w:val="center"/>
        <w:rPr>
          <w:rFonts w:cs="Arial"/>
        </w:rPr>
      </w:pPr>
    </w:p>
    <w:p w:rsidR="00504B23" w:rsidRDefault="00FB626F" w:rsidP="00504B2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32766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B23" w:rsidRDefault="00504B23" w:rsidP="00504B2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13873"/>
      <w:r>
        <w:lastRenderedPageBreak/>
        <w:t>Casos de Uso</w:t>
      </w:r>
      <w:bookmarkEnd w:id="9"/>
    </w:p>
    <w:p w:rsidR="00504B23" w:rsidRDefault="00504B23" w:rsidP="00504B23">
      <w:pPr>
        <w:pStyle w:val="Ttulo2"/>
      </w:pPr>
      <w:r>
        <w:rPr>
          <w:vanish/>
        </w:rPr>
        <w:t xml:space="preserve">UCS345 </w:t>
      </w:r>
      <w:bookmarkStart w:id="10" w:name="_Toc404613874"/>
      <w:r>
        <w:t>Incluir Período para Comprovação de Dependência Econômica</w:t>
      </w:r>
      <w:bookmarkEnd w:id="10"/>
      <w:r>
        <w:t> </w:t>
      </w:r>
    </w:p>
    <w:p w:rsidR="00504B23" w:rsidRDefault="00504B23" w:rsidP="00504B2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13875"/>
      <w:r>
        <w:t>Fluxo Básico</w:t>
      </w:r>
      <w:bookmarkEnd w:id="11"/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“Incluir período para comprovação de dependência econômica”.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>O sistema apresenta o formulário para preenchimento das informações.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>O ator preenche os dados na tela e submete a operação.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b/>
          <w:bCs w:val="0"/>
          <w:color w:val="000000"/>
        </w:rPr>
      </w:pPr>
      <w:r>
        <w:t>O sistema valida as informações de acordo com as Regras de Negócios estabelecidas - exceções.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inclui o período para comprovação de dependência econômica.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504B23" w:rsidRDefault="00504B23" w:rsidP="00504B23">
      <w:pPr>
        <w:pStyle w:val="Recuodecorpodetexto"/>
      </w:pPr>
    </w:p>
    <w:p w:rsidR="00504B23" w:rsidRDefault="00504B23" w:rsidP="00504B23">
      <w:pPr>
        <w:pStyle w:val="Ttulo2"/>
      </w:pPr>
      <w:r>
        <w:rPr>
          <w:vanish/>
        </w:rPr>
        <w:t xml:space="preserve">UCS346 </w:t>
      </w:r>
      <w:bookmarkStart w:id="12" w:name="_Toc404613876"/>
      <w:r>
        <w:t>Alterar Período para Comprovação de Dependência Econômica</w:t>
      </w:r>
      <w:bookmarkEnd w:id="12"/>
      <w:r>
        <w:t> </w:t>
      </w:r>
    </w:p>
    <w:p w:rsidR="00504B23" w:rsidRDefault="00504B23" w:rsidP="00504B2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13877"/>
      <w:r>
        <w:t>Fluxo Básico</w:t>
      </w:r>
      <w:bookmarkEnd w:id="13"/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escolhe o período de comprovação após executar o caso de uso “Listar períodos para comprovação de dependência econômica”.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que permite “Alterar o período de comprovação de dependência econômica”.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>O sistema apresenta o formulário para preenchimento das informações.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>O ator preenche os dados na tela e submete a operação.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b/>
          <w:bCs w:val="0"/>
          <w:color w:val="000000"/>
        </w:rPr>
      </w:pPr>
      <w:r>
        <w:t>O sistema valida as informações de acordo com as Regras de Negócios estabelecidas - exceções.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altera o período para de comprovação dependência econômica. 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504B23" w:rsidRDefault="00504B23" w:rsidP="00504B23">
      <w:pPr>
        <w:pStyle w:val="Ttulo4"/>
        <w:numPr>
          <w:ilvl w:val="0"/>
          <w:numId w:val="0"/>
        </w:numPr>
        <w:ind w:left="1080"/>
      </w:pPr>
    </w:p>
    <w:p w:rsidR="00504B23" w:rsidRDefault="00504B23" w:rsidP="00504B2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192304440"/>
      <w:bookmarkStart w:id="15" w:name="_Toc404613878"/>
      <w:r>
        <w:t>Exceções</w:t>
      </w:r>
      <w:bookmarkEnd w:id="14"/>
      <w:bookmarkEnd w:id="15"/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alterar o campo “ano final de referência”, informando um ano menor, sendo que existe uma comprovação realizada após o ano informado. O sistema </w:t>
      </w:r>
      <w:r>
        <w:lastRenderedPageBreak/>
        <w:t>exibe a mensagem MSG1372 (“Ano final de referência não pode ser antecipado, pois já existem comprovações de dependência econômica neste período.”);</w:t>
      </w:r>
    </w:p>
    <w:p w:rsidR="00504B23" w:rsidRDefault="00504B23" w:rsidP="00504B23">
      <w:pPr>
        <w:pStyle w:val="Recuodecorpodetexto"/>
      </w:pPr>
    </w:p>
    <w:p w:rsidR="00504B23" w:rsidRDefault="00504B23" w:rsidP="00504B23">
      <w:pPr>
        <w:pStyle w:val="Recuodecorpodetexto"/>
      </w:pPr>
    </w:p>
    <w:p w:rsidR="00504B23" w:rsidRDefault="00504B23" w:rsidP="00504B23">
      <w:pPr>
        <w:pStyle w:val="Ttulo2"/>
      </w:pPr>
      <w:r>
        <w:rPr>
          <w:vanish/>
        </w:rPr>
        <w:t xml:space="preserve">UCS347 </w:t>
      </w:r>
      <w:bookmarkStart w:id="16" w:name="_Toc404613879"/>
      <w:r>
        <w:t>Excluir Período para Comprovação de Dependência Econômica</w:t>
      </w:r>
      <w:bookmarkEnd w:id="16"/>
      <w:r>
        <w:t> </w:t>
      </w:r>
    </w:p>
    <w:p w:rsidR="00504B23" w:rsidRDefault="00504B23" w:rsidP="00504B2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13880"/>
      <w:r>
        <w:t>Fluxo Básico</w:t>
      </w:r>
      <w:bookmarkEnd w:id="17"/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escolhe o período de comprovação após executar o caso de uso “Listar períodos para comprovação de dependência econômica”.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invoca a exclusão do </w:t>
      </w:r>
      <w:r>
        <w:t>período para comprovação de dependência econômica.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b/>
          <w:bCs w:val="0"/>
          <w:color w:val="000000"/>
        </w:rPr>
      </w:pPr>
      <w:r>
        <w:t>O sistema valida as informações de acordo com as Regras de Negócios estabelecidas - exceções.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 o período para comprovação de dependência econômica.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 O sistema processa a operação e exibe a mensagem MSG0052 ("Exclusão efetuada com sucesso!").</w:t>
      </w:r>
    </w:p>
    <w:p w:rsidR="00504B23" w:rsidRDefault="00504B23" w:rsidP="00504B2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613881"/>
      <w:r>
        <w:t>Exceções</w:t>
      </w:r>
      <w:bookmarkEnd w:id="18"/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um período sendo que existem comprovações de dependência econômicas já realizadas para o período relacionado, o sistema exibe a mensagem MSG1373 (“Não é permitido excluir o período informado, pois já existem comprovações de dependência econômica neste período.”);</w:t>
      </w:r>
    </w:p>
    <w:p w:rsidR="00504B23" w:rsidRDefault="00504B23" w:rsidP="00504B23">
      <w:pPr>
        <w:pStyle w:val="Recuodecorpodetexto"/>
      </w:pPr>
    </w:p>
    <w:p w:rsidR="00504B23" w:rsidRDefault="00504B23" w:rsidP="00504B23">
      <w:pPr>
        <w:pStyle w:val="Ttulo2"/>
      </w:pPr>
      <w:r>
        <w:rPr>
          <w:vanish/>
        </w:rPr>
        <w:t xml:space="preserve">UCS348 </w:t>
      </w:r>
      <w:bookmarkStart w:id="19" w:name="_Toc404613882"/>
      <w:r>
        <w:t>Listar Período para Comprovação de Dependência Econômica</w:t>
      </w:r>
      <w:bookmarkEnd w:id="19"/>
      <w:r>
        <w:t> </w:t>
      </w:r>
    </w:p>
    <w:p w:rsidR="00504B23" w:rsidRDefault="00504B23" w:rsidP="00504B2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613883"/>
      <w:r>
        <w:t>Fluxo Básico</w:t>
      </w:r>
      <w:bookmarkEnd w:id="20"/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“Listar períodos para comprovação de dependência econômica”.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t>O ator informa os dados do filtro de pesquisa exibidos pelo sistema</w:t>
      </w:r>
      <w:r>
        <w:rPr>
          <w:color w:val="000000"/>
        </w:rPr>
        <w:t xml:space="preserve">. 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uma lista de todos os períodos para comprovação de dependência econômica que atenda os filtros de pesquisa, ordenada de forma decrescente pelo ano inicial. </w:t>
      </w:r>
      <w:r>
        <w:br/>
      </w:r>
    </w:p>
    <w:p w:rsidR="00504B23" w:rsidRDefault="00504B23" w:rsidP="00504B23">
      <w:pPr>
        <w:pStyle w:val="Ttulo2"/>
      </w:pPr>
      <w:bookmarkStart w:id="21" w:name="_Toc404613884"/>
      <w:r>
        <w:t>Exceções comuns aos casos de uso Incluir e Alterar</w:t>
      </w:r>
      <w:bookmarkEnd w:id="21"/>
    </w:p>
    <w:p w:rsidR="00504B23" w:rsidRDefault="00504B23" w:rsidP="00504B2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613885"/>
      <w:r>
        <w:t>Exceções</w:t>
      </w:r>
      <w:bookmarkEnd w:id="22"/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campo “Ano inicial de referência” maior do que campo “Ano final de referência”, o sistema exibe a mensagem MSG761</w:t>
      </w:r>
      <w:r>
        <w:rPr>
          <w:strike/>
          <w:highlight w:val="red"/>
        </w:rPr>
        <w:t>(“&lt;Nome do campo 1&gt; deve ser menor que &lt;Nome do campo 2&gt;”)</w:t>
      </w:r>
      <w:r>
        <w:t xml:space="preserve"> </w:t>
      </w:r>
      <w:r>
        <w:rPr>
          <w:highlight w:val="green"/>
        </w:rPr>
        <w:t>("&lt;nome_campo_2&gt; deve ser maior que o &lt;nome_campo_1&gt;.")</w:t>
      </w:r>
      <w:r>
        <w:t>.</w:t>
      </w:r>
    </w:p>
    <w:p w:rsidR="00504B23" w:rsidRDefault="00504B23" w:rsidP="00504B2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um ano referência inicial e final, onde já existe cadastrado no sistema outro ano inicial e final conflitante. Neste caso o sistema exibe a mensagem MSG1350(“Já existe cadastrado no sistema período de referência que abrange este novo período informado.“). </w:t>
      </w:r>
    </w:p>
    <w:p w:rsidR="00504B23" w:rsidRDefault="00504B23" w:rsidP="00504B2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613886"/>
      <w:r>
        <w:lastRenderedPageBreak/>
        <w:t>Anexos</w:t>
      </w:r>
      <w:bookmarkEnd w:id="23"/>
    </w:p>
    <w:p w:rsidR="00504B23" w:rsidRDefault="00504B23" w:rsidP="00504B23"/>
    <w:p w:rsidR="00504B23" w:rsidRDefault="00504B23" w:rsidP="00504B23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504B23" w:rsidRDefault="00504B23" w:rsidP="00504B23">
      <w:pPr>
        <w:widowControl w:val="0"/>
        <w:ind w:left="540"/>
        <w:rPr>
          <w:rFonts w:cs="Arial"/>
        </w:rPr>
      </w:pPr>
    </w:p>
    <w:p w:rsidR="00FB626F" w:rsidRDefault="00FB626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04B23" w:rsidRDefault="00504B23" w:rsidP="00504B23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4" w:name="_Toc404613887"/>
      <w:r>
        <w:lastRenderedPageBreak/>
        <w:t>Revisões</w:t>
      </w:r>
      <w:bookmarkEnd w:id="24"/>
    </w:p>
    <w:p w:rsidR="00504B23" w:rsidRDefault="00504B23" w:rsidP="00504B2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04B23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B23" w:rsidRPr="00504B23" w:rsidRDefault="00504B23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04B2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B23" w:rsidRPr="00504B23" w:rsidRDefault="00504B23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04B2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B23" w:rsidRPr="00504B23" w:rsidRDefault="00504B23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04B2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B23" w:rsidRPr="00504B23" w:rsidRDefault="00504B23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04B2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B23" w:rsidRPr="00504B23" w:rsidRDefault="00504B23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04B2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04B23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FB626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4B23" w:rsidRDefault="00504B23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4B23" w:rsidRDefault="00504B23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4B23" w:rsidRDefault="00504B23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4B23" w:rsidRDefault="00504B23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4B23" w:rsidRDefault="00504B23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4B23" w:rsidRDefault="00504B23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4B23" w:rsidRDefault="00504B23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Pr="00FB626F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 w:rsidRPr="00FB626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B23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B23" w:rsidRDefault="00504B23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B23" w:rsidRDefault="00504B23" w:rsidP="00FB626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B23" w:rsidRDefault="00504B23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04B23" w:rsidRDefault="00504B23" w:rsidP="00504B23">
      <w:pPr>
        <w:pStyle w:val="Recuodecorpodetexto"/>
      </w:pPr>
    </w:p>
    <w:p w:rsidR="00504B23" w:rsidRDefault="00504B23" w:rsidP="00504B23"/>
    <w:p w:rsidR="00F41655" w:rsidRPr="00504B23" w:rsidRDefault="00F41655" w:rsidP="00504B23"/>
    <w:sectPr w:rsidR="00F41655" w:rsidRPr="00504B23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4B23" w:rsidRDefault="00504B23" w:rsidP="002908D9">
      <w:r>
        <w:separator/>
      </w:r>
    </w:p>
  </w:endnote>
  <w:endnote w:type="continuationSeparator" w:id="0">
    <w:p w:rsidR="00504B23" w:rsidRDefault="00504B2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B626F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04B2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B626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B626F">
            <w:rPr>
              <w:sz w:val="20"/>
              <w:szCs w:val="20"/>
            </w:rPr>
            <w:t xml:space="preserve">Keila </w:t>
          </w:r>
          <w:proofErr w:type="spellStart"/>
          <w:r w:rsidRPr="00FB626F">
            <w:rPr>
              <w:sz w:val="20"/>
              <w:szCs w:val="20"/>
            </w:rPr>
            <w:t>Joanês</w:t>
          </w:r>
          <w:proofErr w:type="spellEnd"/>
          <w:r w:rsidRPr="00FB626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B626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04B23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04B23">
            <w:rPr>
              <w:b/>
              <w:sz w:val="20"/>
              <w:szCs w:val="20"/>
            </w:rPr>
            <w:t>Pensão Previdenciária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04B23">
            <w:rPr>
              <w:b/>
              <w:sz w:val="20"/>
              <w:szCs w:val="20"/>
            </w:rPr>
            <w:t>UCS0099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B626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B626F">
            <w:rPr>
              <w:b/>
              <w:sz w:val="20"/>
              <w:szCs w:val="20"/>
            </w:rPr>
            <w:t>Manter Período para Comprovação de Dependência Econômica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4B23" w:rsidRDefault="00504B23" w:rsidP="002908D9">
      <w:r>
        <w:separator/>
      </w:r>
    </w:p>
  </w:footnote>
  <w:footnote w:type="continuationSeparator" w:id="0">
    <w:p w:rsidR="00504B23" w:rsidRDefault="00504B2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B23"/>
    <w:rsid w:val="0000536A"/>
    <w:rsid w:val="00010C94"/>
    <w:rsid w:val="00011A7E"/>
    <w:rsid w:val="000723C3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04B23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B626F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4B2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04B2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04B2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04B2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04B2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04B2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04B2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04B2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04B23"/>
    <w:pPr>
      <w:ind w:left="0"/>
    </w:pPr>
  </w:style>
  <w:style w:type="paragraph" w:styleId="ndicedeilustraes">
    <w:name w:val="table of figures"/>
    <w:basedOn w:val="Normal"/>
    <w:next w:val="Normal"/>
    <w:semiHidden/>
    <w:rsid w:val="00504B23"/>
  </w:style>
  <w:style w:type="paragraph" w:styleId="Sumrio2">
    <w:name w:val="toc 2"/>
    <w:basedOn w:val="Normal"/>
    <w:next w:val="Normal"/>
    <w:autoRedefine/>
    <w:uiPriority w:val="39"/>
    <w:rsid w:val="00504B2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04B23"/>
    <w:pPr>
      <w:ind w:left="480"/>
    </w:pPr>
  </w:style>
  <w:style w:type="character" w:styleId="Hyperlink">
    <w:name w:val="Hyperlink"/>
    <w:basedOn w:val="Fontepargpadro"/>
    <w:uiPriority w:val="99"/>
    <w:rsid w:val="00504B2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04B2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04B2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04B2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04B2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04B2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04B23"/>
    <w:rPr>
      <w:sz w:val="16"/>
    </w:rPr>
  </w:style>
  <w:style w:type="character" w:styleId="Nmerodepgina">
    <w:name w:val="page number"/>
    <w:basedOn w:val="Fontepargpadro"/>
    <w:rsid w:val="00504B2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04B2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04B2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4B2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04B23"/>
  </w:style>
  <w:style w:type="paragraph" w:styleId="Corpodetexto">
    <w:name w:val="Body Text"/>
    <w:basedOn w:val="Normal"/>
    <w:link w:val="CorpodetextoChar"/>
    <w:rsid w:val="00504B2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04B23"/>
    <w:rPr>
      <w:rFonts w:eastAsia="Arial Unicode MS"/>
    </w:rPr>
  </w:style>
  <w:style w:type="paragraph" w:customStyle="1" w:styleId="tabletext">
    <w:name w:val="tabletext"/>
    <w:basedOn w:val="Normal"/>
    <w:rsid w:val="00504B2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04B2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04B2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04B2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04B2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04B2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04B2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04B2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04B2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04B2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4B2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04B2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04B2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04B2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04B2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04B2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04B2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04B2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04B23"/>
    <w:pPr>
      <w:ind w:left="0"/>
    </w:pPr>
  </w:style>
  <w:style w:type="paragraph" w:styleId="ndicedeilustraes">
    <w:name w:val="table of figures"/>
    <w:basedOn w:val="Normal"/>
    <w:next w:val="Normal"/>
    <w:semiHidden/>
    <w:rsid w:val="00504B23"/>
  </w:style>
  <w:style w:type="paragraph" w:styleId="Sumrio2">
    <w:name w:val="toc 2"/>
    <w:basedOn w:val="Normal"/>
    <w:next w:val="Normal"/>
    <w:autoRedefine/>
    <w:uiPriority w:val="39"/>
    <w:rsid w:val="00504B2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04B23"/>
    <w:pPr>
      <w:ind w:left="480"/>
    </w:pPr>
  </w:style>
  <w:style w:type="character" w:styleId="Hyperlink">
    <w:name w:val="Hyperlink"/>
    <w:basedOn w:val="Fontepargpadro"/>
    <w:uiPriority w:val="99"/>
    <w:rsid w:val="00504B2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04B2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04B2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04B2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04B2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04B2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04B23"/>
    <w:rPr>
      <w:sz w:val="16"/>
    </w:rPr>
  </w:style>
  <w:style w:type="character" w:styleId="Nmerodepgina">
    <w:name w:val="page number"/>
    <w:basedOn w:val="Fontepargpadro"/>
    <w:rsid w:val="00504B2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04B2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04B2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4B2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04B23"/>
  </w:style>
  <w:style w:type="paragraph" w:styleId="Corpodetexto">
    <w:name w:val="Body Text"/>
    <w:basedOn w:val="Normal"/>
    <w:link w:val="CorpodetextoChar"/>
    <w:rsid w:val="00504B2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04B23"/>
    <w:rPr>
      <w:rFonts w:eastAsia="Arial Unicode MS"/>
    </w:rPr>
  </w:style>
  <w:style w:type="paragraph" w:customStyle="1" w:styleId="tabletext">
    <w:name w:val="tabletext"/>
    <w:basedOn w:val="Normal"/>
    <w:rsid w:val="00504B2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04B2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04B2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04B2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04B2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04B2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04B2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04B2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04B2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04B2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9D740F-781F-4C1F-882E-04445EE57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992</Words>
  <Characters>6915</Characters>
  <Application>Microsoft Office Word</Application>
  <DocSecurity>0</DocSecurity>
  <Lines>57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7892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2014-11-08T21:47:00Z</cp:lastPrinted>
  <dcterms:created xsi:type="dcterms:W3CDTF">2014-11-08T21:46:00Z</dcterms:created>
  <dcterms:modified xsi:type="dcterms:W3CDTF">2014-11-24T19:35:00Z</dcterms:modified>
</cp:coreProperties>
</file>