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E96" w:rsidRDefault="009A2E96" w:rsidP="009A2E9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2E96" w:rsidRDefault="009A2E96" w:rsidP="009A2E9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widowControl w:val="0"/>
        <w:rPr>
          <w:rFonts w:cs="Arial"/>
          <w:sz w:val="20"/>
        </w:rPr>
      </w:pPr>
    </w:p>
    <w:p w:rsidR="009A2E96" w:rsidRDefault="009A2E96" w:rsidP="009A2E96">
      <w:pPr>
        <w:widowControl w:val="0"/>
        <w:rPr>
          <w:rFonts w:cs="Arial"/>
        </w:rPr>
      </w:pPr>
    </w:p>
    <w:p w:rsidR="009A2E96" w:rsidRDefault="009A2E96" w:rsidP="009A2E96">
      <w:pPr>
        <w:pStyle w:val="Capa"/>
        <w:rPr>
          <w:color w:val="FF9900"/>
        </w:rPr>
      </w:pPr>
      <w:r>
        <w:t>SINDRAPE</w:t>
      </w:r>
    </w:p>
    <w:p w:rsidR="009A2E96" w:rsidRPr="009A2E96" w:rsidRDefault="009A2E96" w:rsidP="009A2E96">
      <w:pPr>
        <w:pStyle w:val="Capa"/>
      </w:pPr>
      <w:r w:rsidRPr="009A2E96">
        <w:t>Sistema Informatizado de Gestão de Recursos Humanos de Santa Catarina</w:t>
      </w:r>
    </w:p>
    <w:p w:rsidR="009A2E96" w:rsidRPr="009A2E96" w:rsidRDefault="009A2E96" w:rsidP="009A2E96">
      <w:pPr>
        <w:widowControl w:val="0"/>
        <w:rPr>
          <w:rFonts w:cs="Arial"/>
          <w:color w:val="000080"/>
        </w:rPr>
      </w:pPr>
    </w:p>
    <w:p w:rsidR="009A2E96" w:rsidRPr="009A2E96" w:rsidRDefault="009A2E96" w:rsidP="009A2E96">
      <w:pPr>
        <w:widowControl w:val="0"/>
        <w:rPr>
          <w:color w:val="000080"/>
        </w:rPr>
      </w:pPr>
    </w:p>
    <w:p w:rsidR="009A2E96" w:rsidRPr="009A2E96" w:rsidRDefault="009A2E96" w:rsidP="009A2E96">
      <w:pPr>
        <w:widowControl w:val="0"/>
        <w:jc w:val="right"/>
        <w:rPr>
          <w:rFonts w:cs="Arial"/>
          <w:b/>
          <w:bCs/>
          <w:color w:val="000080"/>
        </w:rPr>
      </w:pPr>
    </w:p>
    <w:p w:rsidR="009A2E96" w:rsidRDefault="009A2E96" w:rsidP="009A2E96">
      <w:pPr>
        <w:pStyle w:val="Capa"/>
      </w:pPr>
      <w:r>
        <w:t xml:space="preserve">UCS0237 </w:t>
      </w:r>
      <w:r w:rsidR="00BA040C">
        <w:t xml:space="preserve">- </w:t>
      </w:r>
      <w:r>
        <w:t>Mudar Cadastrador Central</w:t>
      </w:r>
    </w:p>
    <w:p w:rsidR="009A2E96" w:rsidRDefault="009A2E96" w:rsidP="009A2E96">
      <w:pPr>
        <w:widowControl w:val="0"/>
        <w:rPr>
          <w:rFonts w:cs="Arial"/>
        </w:rPr>
      </w:pPr>
    </w:p>
    <w:p w:rsidR="009A2E96" w:rsidRDefault="009A2E96" w:rsidP="009A2E96">
      <w:pPr>
        <w:widowControl w:val="0"/>
      </w:pPr>
    </w:p>
    <w:p w:rsidR="009A2E96" w:rsidRPr="009A2E96" w:rsidRDefault="009A2E96" w:rsidP="009A2E96">
      <w:pPr>
        <w:pStyle w:val="Corpodetexto3"/>
        <w:widowControl w:val="0"/>
        <w:spacing w:after="0"/>
        <w:rPr>
          <w:rFonts w:cs="Arial"/>
        </w:rPr>
      </w:pPr>
      <w:r w:rsidRPr="009A2E96">
        <w:rPr>
          <w:rFonts w:cs="Arial"/>
        </w:rPr>
        <w:br w:type="page"/>
      </w:r>
      <w:r w:rsidRPr="009A2E96">
        <w:rPr>
          <w:rFonts w:cs="Arial"/>
        </w:rPr>
        <w:lastRenderedPageBreak/>
        <w:t>Histórico de Revisões</w:t>
      </w:r>
    </w:p>
    <w:p w:rsidR="009A2E96" w:rsidRDefault="009A2E96" w:rsidP="009A2E96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3"/>
        <w:gridCol w:w="998"/>
        <w:gridCol w:w="3091"/>
        <w:gridCol w:w="1598"/>
        <w:gridCol w:w="2101"/>
      </w:tblGrid>
      <w:tr w:rsidR="009A2E96" w:rsidTr="009A2E96">
        <w:tc>
          <w:tcPr>
            <w:tcW w:w="1423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091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598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A2E96" w:rsidTr="009A2E96">
        <w:tc>
          <w:tcPr>
            <w:tcW w:w="1423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27/04/2005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091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598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9A2E96" w:rsidTr="009A2E96">
        <w:tc>
          <w:tcPr>
            <w:tcW w:w="1423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02/08/2006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091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Acrescentado regras para substituição do central, e tratamento do substituo e auxiliar.</w:t>
            </w:r>
          </w:p>
        </w:tc>
        <w:tc>
          <w:tcPr>
            <w:tcW w:w="1598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bottom w:val="single" w:sz="4" w:space="0" w:color="auto"/>
            </w:tcBorders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9A2E96" w:rsidTr="009A2E96">
        <w:tc>
          <w:tcPr>
            <w:tcW w:w="1423" w:type="dxa"/>
            <w:tcBorders>
              <w:bottom w:val="single" w:sz="4" w:space="0" w:color="auto"/>
            </w:tcBorders>
            <w:shd w:val="clear" w:color="auto" w:fill="FFFF99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04/10/2006</w:t>
            </w:r>
          </w:p>
        </w:tc>
        <w:tc>
          <w:tcPr>
            <w:tcW w:w="998" w:type="dxa"/>
            <w:tcBorders>
              <w:bottom w:val="single" w:sz="4" w:space="0" w:color="auto"/>
            </w:tcBorders>
            <w:shd w:val="clear" w:color="auto" w:fill="FFFF99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091" w:type="dxa"/>
            <w:tcBorders>
              <w:bottom w:val="single" w:sz="4" w:space="0" w:color="auto"/>
            </w:tcBorders>
            <w:shd w:val="clear" w:color="auto" w:fill="FFFF99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Refinamento das regras para contemplar mudanças da autorização de acesso.</w:t>
            </w:r>
          </w:p>
        </w:tc>
        <w:tc>
          <w:tcPr>
            <w:tcW w:w="1598" w:type="dxa"/>
            <w:tcBorders>
              <w:bottom w:val="single" w:sz="4" w:space="0" w:color="auto"/>
            </w:tcBorders>
            <w:shd w:val="clear" w:color="auto" w:fill="FFFF99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2101" w:type="dxa"/>
            <w:tcBorders>
              <w:bottom w:val="single" w:sz="4" w:space="0" w:color="auto"/>
            </w:tcBorders>
            <w:shd w:val="clear" w:color="auto" w:fill="FFFF99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proofErr w:type="spellStart"/>
            <w:r>
              <w:rPr>
                <w:rFonts w:cs="Arial"/>
                <w:lang w:val="es-ES_tradnl"/>
              </w:rPr>
              <w:t>Emran</w:t>
            </w:r>
            <w:proofErr w:type="spellEnd"/>
            <w:r>
              <w:rPr>
                <w:rFonts w:cs="Arial"/>
                <w:lang w:val="es-ES_tradnl"/>
              </w:rPr>
              <w:t xml:space="preserve"> Omar</w:t>
            </w:r>
          </w:p>
        </w:tc>
      </w:tr>
      <w:tr w:rsidR="009A2E96" w:rsidTr="009A2E96">
        <w:tc>
          <w:tcPr>
            <w:tcW w:w="1423" w:type="dxa"/>
            <w:tcBorders>
              <w:bottom w:val="single" w:sz="4" w:space="0" w:color="auto"/>
            </w:tcBorders>
            <w:shd w:val="clear" w:color="auto" w:fill="CCFFFF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16/11/2006</w:t>
            </w:r>
          </w:p>
        </w:tc>
        <w:tc>
          <w:tcPr>
            <w:tcW w:w="998" w:type="dxa"/>
            <w:tcBorders>
              <w:bottom w:val="single" w:sz="4" w:space="0" w:color="auto"/>
            </w:tcBorders>
            <w:shd w:val="clear" w:color="auto" w:fill="CCFFFF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1.3</w:t>
            </w:r>
          </w:p>
        </w:tc>
        <w:tc>
          <w:tcPr>
            <w:tcW w:w="3091" w:type="dxa"/>
            <w:tcBorders>
              <w:bottom w:val="single" w:sz="4" w:space="0" w:color="auto"/>
            </w:tcBorders>
            <w:shd w:val="clear" w:color="auto" w:fill="CCFFFF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Inclusão da exceção de acesso do Máster.</w:t>
            </w:r>
          </w:p>
        </w:tc>
        <w:tc>
          <w:tcPr>
            <w:tcW w:w="1598" w:type="dxa"/>
            <w:tcBorders>
              <w:bottom w:val="single" w:sz="4" w:space="0" w:color="auto"/>
            </w:tcBorders>
            <w:shd w:val="clear" w:color="auto" w:fill="CCFFFF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bottom w:val="single" w:sz="4" w:space="0" w:color="auto"/>
            </w:tcBorders>
            <w:shd w:val="clear" w:color="auto" w:fill="CCFFFF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EmranOmar</w:t>
            </w:r>
            <w:proofErr w:type="spellEnd"/>
            <w:proofErr w:type="gramEnd"/>
          </w:p>
        </w:tc>
      </w:tr>
      <w:tr w:rsidR="009A2E96" w:rsidTr="009A2E96">
        <w:tc>
          <w:tcPr>
            <w:tcW w:w="1423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8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3091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598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9A2E96" w:rsidTr="009A2E96">
        <w:tc>
          <w:tcPr>
            <w:tcW w:w="1423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998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3091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598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9A2E96" w:rsidRDefault="009A2E96" w:rsidP="009A2E9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A2E96" w:rsidRPr="009A2E96" w:rsidRDefault="009A2E96" w:rsidP="009A2E96">
      <w:pPr>
        <w:pStyle w:val="Corpodetexto3"/>
        <w:widowControl w:val="0"/>
        <w:spacing w:after="0"/>
        <w:jc w:val="left"/>
        <w:rPr>
          <w:rFonts w:cs="Arial"/>
        </w:rPr>
      </w:pPr>
      <w:r w:rsidRPr="009A2E96">
        <w:rPr>
          <w:rFonts w:cs="Arial"/>
        </w:rPr>
        <w:br w:type="page"/>
      </w:r>
      <w:r w:rsidRPr="009A2E96">
        <w:rPr>
          <w:rFonts w:cs="Arial"/>
        </w:rPr>
        <w:lastRenderedPageBreak/>
        <w:t>Índice</w:t>
      </w:r>
    </w:p>
    <w:bookmarkStart w:id="0" w:name="_GoBack"/>
    <w:bookmarkEnd w:id="0"/>
    <w:p w:rsidR="00BA040C" w:rsidRDefault="009A2E9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4383" w:history="1">
        <w:r w:rsidR="00BA040C" w:rsidRPr="00BC0E6C">
          <w:rPr>
            <w:rStyle w:val="Hyperlink"/>
            <w:noProof/>
          </w:rPr>
          <w:t>1.</w:t>
        </w:r>
        <w:r w:rsidR="00BA04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A040C" w:rsidRPr="00BC0E6C">
          <w:rPr>
            <w:rStyle w:val="Hyperlink"/>
            <w:noProof/>
          </w:rPr>
          <w:t>Pacote/Caso de Uso</w:t>
        </w:r>
        <w:r w:rsidR="00BA040C">
          <w:rPr>
            <w:noProof/>
            <w:webHidden/>
          </w:rPr>
          <w:tab/>
        </w:r>
        <w:r w:rsidR="00BA040C">
          <w:rPr>
            <w:noProof/>
            <w:webHidden/>
          </w:rPr>
          <w:fldChar w:fldCharType="begin"/>
        </w:r>
        <w:r w:rsidR="00BA040C">
          <w:rPr>
            <w:noProof/>
            <w:webHidden/>
          </w:rPr>
          <w:instrText xml:space="preserve"> PAGEREF _Toc404694383 \h </w:instrText>
        </w:r>
        <w:r w:rsidR="00BA040C">
          <w:rPr>
            <w:noProof/>
            <w:webHidden/>
          </w:rPr>
        </w:r>
        <w:r w:rsidR="00BA040C">
          <w:rPr>
            <w:noProof/>
            <w:webHidden/>
          </w:rPr>
          <w:fldChar w:fldCharType="separate"/>
        </w:r>
        <w:r w:rsidR="00BA040C">
          <w:rPr>
            <w:noProof/>
            <w:webHidden/>
          </w:rPr>
          <w:t>4</w:t>
        </w:r>
        <w:r w:rsidR="00BA040C"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84" w:history="1">
        <w:r w:rsidRPr="00BC0E6C">
          <w:rPr>
            <w:rStyle w:val="Hyperlink"/>
            <w:noProof/>
          </w:rPr>
          <w:t>Mudar Cadastrador Central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85" w:history="1">
        <w:r w:rsidRPr="00BC0E6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86" w:history="1">
        <w:r w:rsidRPr="00BC0E6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87" w:history="1">
        <w:r w:rsidRPr="00BC0E6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88" w:history="1">
        <w:r w:rsidRPr="00BC0E6C">
          <w:rPr>
            <w:rStyle w:val="Hyperlink"/>
            <w:rFonts w:eastAsia="Arial Unicode MS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89" w:history="1">
        <w:r w:rsidRPr="00BC0E6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90" w:history="1">
        <w:r w:rsidRPr="00BC0E6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91" w:history="1">
        <w:r w:rsidRPr="00BC0E6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92" w:history="1">
        <w:r w:rsidRPr="00BC0E6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Mudar Cadastrador Central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93" w:history="1">
        <w:r w:rsidRPr="00BC0E6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94" w:history="1">
        <w:r w:rsidRPr="00BC0E6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95" w:history="1">
        <w:r w:rsidRPr="00BC0E6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Listar Cadastradores Centrais Mudados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96" w:history="1">
        <w:r w:rsidRPr="00BC0E6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97" w:history="1">
        <w:r w:rsidRPr="00BC0E6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040C" w:rsidRDefault="00BA040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398" w:history="1">
        <w:r w:rsidRPr="00BC0E6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0E6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A2E96" w:rsidRDefault="009A2E96" w:rsidP="009A2E96">
      <w:pPr>
        <w:pStyle w:val="Sumrio1"/>
        <w:jc w:val="left"/>
      </w:pPr>
      <w:r>
        <w:rPr>
          <w:rFonts w:cs="Arial"/>
        </w:rPr>
        <w:fldChar w:fldCharType="end"/>
      </w:r>
    </w:p>
    <w:p w:rsidR="009A2E96" w:rsidRDefault="009A2E96" w:rsidP="009A2E96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9A2E96" w:rsidRDefault="009A2E96" w:rsidP="009A2E96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9A2E96" w:rsidRDefault="009A2E96" w:rsidP="009A2E96">
      <w:pPr>
        <w:pStyle w:val="Heading"/>
      </w:pPr>
    </w:p>
    <w:p w:rsidR="009A2E96" w:rsidRDefault="009A2E96" w:rsidP="009A2E96">
      <w:pPr>
        <w:pStyle w:val="Heading"/>
      </w:pPr>
    </w:p>
    <w:p w:rsidR="009A2E96" w:rsidRDefault="009A2E96" w:rsidP="009A2E9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A2E96" w:rsidRDefault="009A2E96" w:rsidP="009A2E96">
      <w:pPr>
        <w:pStyle w:val="Ttulo1"/>
        <w:keepNext w:val="0"/>
        <w:widowControl w:val="0"/>
        <w:spacing w:before="0" w:line="240" w:lineRule="auto"/>
        <w:ind w:left="0"/>
        <w:jc w:val="left"/>
      </w:pPr>
      <w:bookmarkStart w:id="2" w:name="_Toc404694383"/>
      <w:r>
        <w:lastRenderedPageBreak/>
        <w:t>Pacote/Caso de Uso</w:t>
      </w:r>
      <w:bookmarkEnd w:id="2"/>
      <w:r>
        <w:tab/>
      </w:r>
    </w:p>
    <w:p w:rsidR="009A2E96" w:rsidRDefault="009A2E96" w:rsidP="009A2E96">
      <w:pPr>
        <w:pStyle w:val="Cabealho"/>
        <w:widowControl w:val="0"/>
        <w:ind w:left="0"/>
        <w:jc w:val="left"/>
        <w:rPr>
          <w:rFonts w:cs="Arial"/>
        </w:rPr>
      </w:pPr>
    </w:p>
    <w:p w:rsidR="009A2E96" w:rsidRDefault="009A2E96" w:rsidP="00BA040C">
      <w:pPr>
        <w:pStyle w:val="Subttulo"/>
      </w:pPr>
      <w:bookmarkStart w:id="3" w:name="_Toc404694384"/>
      <w:r>
        <w:t>Mudar Cadastrador Central</w:t>
      </w:r>
      <w:bookmarkEnd w:id="3"/>
      <w:r>
        <w:t xml:space="preserve"> </w:t>
      </w:r>
    </w:p>
    <w:p w:rsidR="009A2E96" w:rsidRDefault="009A2E96" w:rsidP="009A2E96">
      <w:pPr>
        <w:widowControl w:val="0"/>
        <w:ind w:left="0"/>
        <w:jc w:val="left"/>
        <w:rPr>
          <w:rFonts w:cs="Arial"/>
          <w:b/>
          <w:bCs/>
          <w:color w:val="FF0000"/>
        </w:rPr>
      </w:pPr>
    </w:p>
    <w:p w:rsidR="009A2E96" w:rsidRDefault="009A2E96" w:rsidP="009A2E96">
      <w:pPr>
        <w:pStyle w:val="Ttulo2"/>
        <w:widowControl w:val="0"/>
        <w:tabs>
          <w:tab w:val="num" w:pos="1080"/>
        </w:tabs>
        <w:spacing w:before="0" w:after="0" w:line="240" w:lineRule="auto"/>
        <w:ind w:left="0"/>
      </w:pPr>
      <w:bookmarkStart w:id="4" w:name="_Toc404694385"/>
      <w:r>
        <w:t>Descrição</w:t>
      </w:r>
      <w:bookmarkEnd w:id="4"/>
    </w:p>
    <w:p w:rsidR="009A2E96" w:rsidRDefault="009A2E96" w:rsidP="009A2E96">
      <w:pPr>
        <w:ind w:left="0"/>
        <w:jc w:val="left"/>
      </w:pPr>
    </w:p>
    <w:p w:rsidR="009A2E96" w:rsidRDefault="009A2E96" w:rsidP="009A2E96">
      <w:pPr>
        <w:pStyle w:val="Recuodecorpodetexto2"/>
        <w:widowControl w:val="0"/>
        <w:ind w:firstLine="0"/>
        <w:jc w:val="left"/>
        <w:rPr>
          <w:sz w:val="24"/>
        </w:rPr>
      </w:pPr>
      <w:r>
        <w:rPr>
          <w:sz w:val="24"/>
        </w:rPr>
        <w:t>Caso de uso responsável por permitir que o usuário da autoridade competente troque o cadastrador central através de um ato legal homologado.</w:t>
      </w:r>
    </w:p>
    <w:p w:rsidR="009A2E96" w:rsidRDefault="009A2E96" w:rsidP="009A2E96">
      <w:pPr>
        <w:pStyle w:val="Ttulo2"/>
        <w:numPr>
          <w:ilvl w:val="0"/>
          <w:numId w:val="0"/>
        </w:numPr>
        <w:spacing w:before="0" w:after="0"/>
      </w:pPr>
      <w:bookmarkStart w:id="5" w:name="_Toc77584278"/>
    </w:p>
    <w:p w:rsidR="009A2E96" w:rsidRDefault="009A2E96" w:rsidP="009A2E96">
      <w:pPr>
        <w:pStyle w:val="Ttulo2"/>
        <w:widowControl w:val="0"/>
        <w:tabs>
          <w:tab w:val="num" w:pos="1080"/>
        </w:tabs>
        <w:spacing w:before="0" w:after="0" w:line="240" w:lineRule="auto"/>
      </w:pPr>
      <w:bookmarkStart w:id="6" w:name="_Toc103740163"/>
      <w:bookmarkStart w:id="7" w:name="_Toc404694386"/>
      <w:r>
        <w:t>Requisitos Atendidos</w:t>
      </w:r>
      <w:bookmarkEnd w:id="6"/>
      <w:bookmarkEnd w:id="7"/>
      <w:r>
        <w:t xml:space="preserve"> </w:t>
      </w:r>
      <w:bookmarkEnd w:id="5"/>
    </w:p>
    <w:p w:rsidR="009A2E96" w:rsidRDefault="009A2E96" w:rsidP="009A2E96">
      <w:pPr>
        <w:pStyle w:val="Recuodecorpodetexto2"/>
        <w:widowControl w:val="0"/>
        <w:ind w:left="1620" w:firstLine="0"/>
        <w:rPr>
          <w:sz w:val="24"/>
        </w:rPr>
      </w:pPr>
    </w:p>
    <w:p w:rsidR="009A2E96" w:rsidRDefault="009A2E96" w:rsidP="009A2E9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R10 – Atribuir Tipos de Usuários.</w:t>
      </w:r>
    </w:p>
    <w:p w:rsidR="009A2E96" w:rsidRDefault="009A2E96" w:rsidP="009A2E96">
      <w:pPr>
        <w:pStyle w:val="Recuodecorpodetexto2"/>
        <w:widowControl w:val="0"/>
        <w:ind w:left="1620" w:firstLine="0"/>
        <w:rPr>
          <w:sz w:val="24"/>
        </w:rPr>
      </w:pPr>
    </w:p>
    <w:p w:rsidR="009A2E96" w:rsidRDefault="009A2E96" w:rsidP="009A2E96">
      <w:pPr>
        <w:pStyle w:val="Ttulo1"/>
        <w:keepNext w:val="0"/>
        <w:widowControl w:val="0"/>
        <w:spacing w:before="0" w:line="240" w:lineRule="auto"/>
      </w:pPr>
      <w:bookmarkStart w:id="8" w:name="_Toc404694387"/>
      <w:r>
        <w:t>Conceito</w:t>
      </w:r>
      <w:bookmarkEnd w:id="8"/>
      <w:r>
        <w:tab/>
      </w:r>
    </w:p>
    <w:p w:rsidR="009A2E96" w:rsidRDefault="009A2E96" w:rsidP="009A2E96">
      <w:pPr>
        <w:pStyle w:val="Cabealho"/>
        <w:widowControl w:val="0"/>
        <w:rPr>
          <w:rFonts w:cs="Arial"/>
        </w:rPr>
      </w:pPr>
    </w:p>
    <w:p w:rsidR="009A2E96" w:rsidRDefault="009A2E96" w:rsidP="009A2E96">
      <w:pPr>
        <w:pStyle w:val="Ttulo2"/>
        <w:widowControl w:val="0"/>
        <w:tabs>
          <w:tab w:val="num" w:pos="1080"/>
        </w:tabs>
        <w:spacing w:before="0" w:after="0" w:line="240" w:lineRule="auto"/>
        <w:rPr>
          <w:rFonts w:eastAsia="Arial Unicode MS"/>
        </w:rPr>
      </w:pPr>
      <w:bookmarkStart w:id="9" w:name="_Toc77584279"/>
      <w:bookmarkStart w:id="10" w:name="_Toc404694388"/>
      <w:r>
        <w:t>Conceitos Principais</w:t>
      </w:r>
      <w:bookmarkEnd w:id="10"/>
    </w:p>
    <w:p w:rsidR="009A2E96" w:rsidRDefault="009A2E96" w:rsidP="009A2E96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A2E96" w:rsidTr="00CE0970">
        <w:trPr>
          <w:trHeight w:val="600"/>
        </w:trPr>
        <w:tc>
          <w:tcPr>
            <w:tcW w:w="1600" w:type="dxa"/>
          </w:tcPr>
          <w:p w:rsidR="009A2E96" w:rsidRDefault="009A2E96" w:rsidP="00CE0970">
            <w:pPr>
              <w:rPr>
                <w:b/>
              </w:rPr>
            </w:pPr>
            <w:r>
              <w:rPr>
                <w:b/>
              </w:rPr>
              <w:t>Usuário</w:t>
            </w:r>
          </w:p>
        </w:tc>
        <w:tc>
          <w:tcPr>
            <w:tcW w:w="4606" w:type="dxa"/>
          </w:tcPr>
          <w:p w:rsidR="009A2E96" w:rsidRDefault="009A2E96" w:rsidP="00CE0970">
            <w:r>
              <w:t>Qualquer pessoa com senha de acesso ao SIGRH ou ao Portal Eletrônico.</w:t>
            </w:r>
          </w:p>
        </w:tc>
      </w:tr>
    </w:tbl>
    <w:p w:rsidR="009A2E96" w:rsidRDefault="009A2E96" w:rsidP="009A2E96"/>
    <w:p w:rsidR="009A2E96" w:rsidRDefault="009A2E96" w:rsidP="009A2E96">
      <w:pPr>
        <w:pStyle w:val="Ttulo2"/>
        <w:widowControl w:val="0"/>
        <w:tabs>
          <w:tab w:val="num" w:pos="1080"/>
        </w:tabs>
        <w:spacing w:before="0" w:after="0" w:line="240" w:lineRule="auto"/>
      </w:pPr>
      <w:bookmarkStart w:id="11" w:name="_Toc404694389"/>
      <w:r>
        <w:t>Conceitos Associados</w:t>
      </w:r>
      <w:bookmarkEnd w:id="11"/>
    </w:p>
    <w:p w:rsidR="009A2E96" w:rsidRDefault="009A2E96" w:rsidP="009A2E96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A2E96" w:rsidTr="00CE0970">
        <w:trPr>
          <w:trHeight w:val="600"/>
        </w:trPr>
        <w:tc>
          <w:tcPr>
            <w:tcW w:w="2338" w:type="dxa"/>
          </w:tcPr>
          <w:p w:rsidR="009A2E96" w:rsidRDefault="009A2E96" w:rsidP="00CE0970">
            <w:pPr>
              <w:rPr>
                <w:rFonts w:eastAsia="Arial Unicode MS"/>
                <w:b/>
              </w:rPr>
            </w:pPr>
            <w:proofErr w:type="spellStart"/>
            <w:proofErr w:type="gramStart"/>
            <w:r>
              <w:rPr>
                <w:rFonts w:eastAsia="Arial Unicode MS"/>
                <w:b/>
              </w:rPr>
              <w:t>TipoUsuário</w:t>
            </w:r>
            <w:proofErr w:type="spellEnd"/>
            <w:proofErr w:type="gramEnd"/>
          </w:p>
        </w:tc>
        <w:tc>
          <w:tcPr>
            <w:tcW w:w="6732" w:type="dxa"/>
          </w:tcPr>
          <w:p w:rsidR="009A2E96" w:rsidRDefault="009A2E96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Definição do tipo do usuário quanto a sua interação no módulo de segurança do SIGRH.</w:t>
            </w:r>
          </w:p>
        </w:tc>
      </w:tr>
      <w:tr w:rsidR="009A2E96" w:rsidTr="00CE0970">
        <w:trPr>
          <w:trHeight w:val="600"/>
        </w:trPr>
        <w:tc>
          <w:tcPr>
            <w:tcW w:w="2338" w:type="dxa"/>
          </w:tcPr>
          <w:p w:rsidR="009A2E96" w:rsidRDefault="009A2E96" w:rsidP="00CE0970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Ato Legal</w:t>
            </w:r>
          </w:p>
        </w:tc>
        <w:tc>
          <w:tcPr>
            <w:tcW w:w="6732" w:type="dxa"/>
          </w:tcPr>
          <w:p w:rsidR="009A2E96" w:rsidRDefault="009A2E96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Documento que registra a formalização de uma determinada </w:t>
            </w:r>
          </w:p>
          <w:p w:rsidR="009A2E96" w:rsidRDefault="009A2E96" w:rsidP="00CE0970">
            <w:pPr>
              <w:rPr>
                <w:rFonts w:eastAsia="Arial Unicode MS"/>
              </w:rPr>
            </w:pPr>
            <w:proofErr w:type="gramStart"/>
            <w:r>
              <w:rPr>
                <w:rFonts w:eastAsia="Arial Unicode MS"/>
              </w:rPr>
              <w:t>ação</w:t>
            </w:r>
            <w:proofErr w:type="gramEnd"/>
            <w:r>
              <w:rPr>
                <w:rFonts w:eastAsia="Arial Unicode MS"/>
              </w:rPr>
              <w:t xml:space="preserve"> governamental.</w:t>
            </w:r>
          </w:p>
        </w:tc>
      </w:tr>
      <w:tr w:rsidR="009A2E96" w:rsidTr="00CE0970">
        <w:trPr>
          <w:trHeight w:val="600"/>
        </w:trPr>
        <w:tc>
          <w:tcPr>
            <w:tcW w:w="2338" w:type="dxa"/>
          </w:tcPr>
          <w:p w:rsidR="009A2E96" w:rsidRDefault="009A2E96" w:rsidP="00CE0970">
            <w:pPr>
              <w:rPr>
                <w:rFonts w:eastAsia="Arial Unicode MS"/>
                <w:b/>
              </w:rPr>
            </w:pPr>
            <w:proofErr w:type="spellStart"/>
            <w:proofErr w:type="gramStart"/>
            <w:r>
              <w:rPr>
                <w:rFonts w:eastAsia="Arial Unicode MS"/>
                <w:b/>
              </w:rPr>
              <w:t>TipoAtoLegal</w:t>
            </w:r>
            <w:proofErr w:type="spellEnd"/>
            <w:proofErr w:type="gramEnd"/>
          </w:p>
        </w:tc>
        <w:tc>
          <w:tcPr>
            <w:tcW w:w="6732" w:type="dxa"/>
          </w:tcPr>
          <w:p w:rsidR="009A2E96" w:rsidRDefault="009A2E96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Identificador do tipo do ato legal.</w:t>
            </w:r>
          </w:p>
        </w:tc>
      </w:tr>
      <w:tr w:rsidR="009A2E96" w:rsidTr="00CE0970">
        <w:trPr>
          <w:trHeight w:val="600"/>
        </w:trPr>
        <w:tc>
          <w:tcPr>
            <w:tcW w:w="2338" w:type="dxa"/>
          </w:tcPr>
          <w:p w:rsidR="009A2E96" w:rsidRDefault="009A2E96" w:rsidP="00CE0970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Ato Legal Nomeação do cadastrador </w:t>
            </w:r>
            <w:r>
              <w:rPr>
                <w:rFonts w:eastAsia="Arial Unicode MS"/>
                <w:b/>
              </w:rPr>
              <w:lastRenderedPageBreak/>
              <w:t>central</w:t>
            </w:r>
          </w:p>
        </w:tc>
        <w:tc>
          <w:tcPr>
            <w:tcW w:w="6732" w:type="dxa"/>
          </w:tcPr>
          <w:p w:rsidR="009A2E96" w:rsidRDefault="009A2E96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lastRenderedPageBreak/>
              <w:t>Detalhe do tipo de ato legal que autoriza a nomeação de um novo Cadastrador Central para o agrupamento de órgãos.</w:t>
            </w:r>
          </w:p>
        </w:tc>
      </w:tr>
    </w:tbl>
    <w:p w:rsidR="009A2E96" w:rsidRDefault="009A2E96" w:rsidP="009A2E96">
      <w:pPr>
        <w:rPr>
          <w:rFonts w:eastAsia="Arial Unicode MS"/>
        </w:rPr>
      </w:pPr>
    </w:p>
    <w:p w:rsidR="009A2E96" w:rsidRDefault="009A2E96" w:rsidP="009A2E96">
      <w:pPr>
        <w:widowControl w:val="0"/>
      </w:pPr>
    </w:p>
    <w:p w:rsidR="009A2E96" w:rsidRDefault="009A2E96" w:rsidP="009A2E96">
      <w:pPr>
        <w:widowControl w:val="0"/>
      </w:pPr>
    </w:p>
    <w:p w:rsidR="009A2E96" w:rsidRDefault="009A2E96" w:rsidP="009A2E96">
      <w:pPr>
        <w:widowControl w:val="0"/>
      </w:pPr>
    </w:p>
    <w:p w:rsidR="009A2E96" w:rsidRDefault="009A2E96" w:rsidP="009A2E96">
      <w:pPr>
        <w:widowControl w:val="0"/>
      </w:pPr>
    </w:p>
    <w:p w:rsidR="009A2E96" w:rsidRDefault="009A2E96" w:rsidP="009A2E96">
      <w:pPr>
        <w:widowControl w:val="0"/>
      </w:pPr>
    </w:p>
    <w:p w:rsidR="009A2E96" w:rsidRDefault="009A2E96" w:rsidP="009A2E96">
      <w:pPr>
        <w:widowControl w:val="0"/>
      </w:pPr>
    </w:p>
    <w:p w:rsidR="009A2E96" w:rsidRDefault="009A2E96" w:rsidP="009A2E96">
      <w:pPr>
        <w:widowControl w:val="0"/>
      </w:pPr>
    </w:p>
    <w:p w:rsidR="009A2E96" w:rsidRDefault="009A2E96" w:rsidP="009A2E96">
      <w:pPr>
        <w:widowControl w:val="0"/>
      </w:pPr>
    </w:p>
    <w:p w:rsidR="00BA040C" w:rsidRDefault="00BA040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A2E96" w:rsidRDefault="009A2E96" w:rsidP="009A2E96">
      <w:pPr>
        <w:pStyle w:val="Ttulo1"/>
        <w:keepNext w:val="0"/>
        <w:widowControl w:val="0"/>
        <w:spacing w:before="0" w:line="240" w:lineRule="auto"/>
      </w:pPr>
      <w:bookmarkStart w:id="12" w:name="_Toc404694390"/>
      <w:r>
        <w:lastRenderedPageBreak/>
        <w:t>Diagrama</w:t>
      </w:r>
      <w:bookmarkEnd w:id="12"/>
    </w:p>
    <w:p w:rsidR="009A2E96" w:rsidRDefault="009A2E96" w:rsidP="009A2E96">
      <w:pPr>
        <w:pStyle w:val="Cabealho"/>
        <w:widowControl w:val="0"/>
        <w:rPr>
          <w:rFonts w:cs="Arial"/>
        </w:rPr>
      </w:pPr>
    </w:p>
    <w:p w:rsidR="009A2E96" w:rsidRDefault="009A2E96" w:rsidP="009A2E96">
      <w:pPr>
        <w:widowControl w:val="0"/>
        <w:jc w:val="center"/>
        <w:rPr>
          <w:rFonts w:cs="Arial"/>
        </w:rPr>
      </w:pPr>
      <w:r>
        <w:object w:dxaOrig="9359" w:dyaOrig="32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155.25pt" o:ole="">
            <v:imagedata r:id="rId9" o:title=""/>
          </v:shape>
          <o:OLEObject Type="Embed" ProgID="PBrush" ShapeID="_x0000_i1025" DrawAspect="Content" ObjectID="_1478436211" r:id="rId10"/>
        </w:object>
      </w:r>
    </w:p>
    <w:p w:rsidR="009A2E96" w:rsidRDefault="009A2E96" w:rsidP="009A2E96">
      <w:pPr>
        <w:widowControl w:val="0"/>
        <w:jc w:val="center"/>
        <w:rPr>
          <w:rFonts w:cs="Arial"/>
        </w:rPr>
      </w:pPr>
    </w:p>
    <w:p w:rsidR="009A2E96" w:rsidRDefault="009A2E96" w:rsidP="009A2E96">
      <w:pPr>
        <w:widowControl w:val="0"/>
        <w:jc w:val="center"/>
        <w:rPr>
          <w:rFonts w:cs="Arial"/>
        </w:rPr>
      </w:pPr>
    </w:p>
    <w:p w:rsidR="009A2E96" w:rsidRDefault="009A2E96" w:rsidP="009A2E96">
      <w:pPr>
        <w:widowControl w:val="0"/>
        <w:jc w:val="center"/>
        <w:rPr>
          <w:rFonts w:cs="Arial"/>
        </w:rPr>
      </w:pPr>
    </w:p>
    <w:p w:rsidR="009A2E96" w:rsidRDefault="009A2E96" w:rsidP="009A2E96">
      <w:pPr>
        <w:widowControl w:val="0"/>
        <w:jc w:val="center"/>
        <w:rPr>
          <w:rFonts w:cs="Arial"/>
        </w:rPr>
      </w:pPr>
    </w:p>
    <w:p w:rsidR="009A2E96" w:rsidRDefault="009A2E96" w:rsidP="009A2E96">
      <w:pPr>
        <w:widowControl w:val="0"/>
        <w:jc w:val="center"/>
        <w:rPr>
          <w:rFonts w:cs="Arial"/>
        </w:rPr>
      </w:pPr>
    </w:p>
    <w:p w:rsidR="009A2E96" w:rsidRDefault="009A2E96" w:rsidP="009A2E96">
      <w:pPr>
        <w:widowControl w:val="0"/>
        <w:jc w:val="center"/>
        <w:rPr>
          <w:rFonts w:cs="Arial"/>
        </w:rPr>
      </w:pPr>
    </w:p>
    <w:p w:rsidR="009A2E96" w:rsidRDefault="009A2E96" w:rsidP="009A2E96">
      <w:pPr>
        <w:widowControl w:val="0"/>
        <w:jc w:val="center"/>
        <w:rPr>
          <w:rFonts w:cs="Arial"/>
        </w:rPr>
      </w:pPr>
    </w:p>
    <w:p w:rsidR="009A2E96" w:rsidRDefault="009A2E96" w:rsidP="009A2E96">
      <w:pPr>
        <w:widowControl w:val="0"/>
        <w:jc w:val="center"/>
        <w:rPr>
          <w:rFonts w:cs="Arial"/>
        </w:rPr>
      </w:pPr>
    </w:p>
    <w:bookmarkEnd w:id="9"/>
    <w:p w:rsidR="00BA040C" w:rsidRDefault="00BA040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A2E96" w:rsidRDefault="009A2E96" w:rsidP="009A2E96">
      <w:pPr>
        <w:pStyle w:val="Ttulo1"/>
        <w:keepNext w:val="0"/>
        <w:widowControl w:val="0"/>
        <w:spacing w:before="0" w:line="240" w:lineRule="auto"/>
        <w:rPr>
          <w:b w:val="0"/>
          <w:bCs w:val="0"/>
        </w:rPr>
      </w:pPr>
      <w:bookmarkStart w:id="13" w:name="_Toc404694391"/>
      <w:r>
        <w:lastRenderedPageBreak/>
        <w:t>Casos de Uso</w:t>
      </w:r>
      <w:bookmarkEnd w:id="13"/>
      <w:r>
        <w:rPr>
          <w:b w:val="0"/>
          <w:bCs w:val="0"/>
        </w:rPr>
        <w:tab/>
      </w:r>
    </w:p>
    <w:p w:rsidR="009A2E96" w:rsidRDefault="009A2E96" w:rsidP="009A2E96">
      <w:pPr>
        <w:pStyle w:val="Cabealho"/>
        <w:widowControl w:val="0"/>
        <w:rPr>
          <w:rFonts w:cs="Arial"/>
        </w:rPr>
      </w:pPr>
    </w:p>
    <w:p w:rsidR="009A2E96" w:rsidRDefault="009A2E96" w:rsidP="009A2E96">
      <w:pPr>
        <w:pStyle w:val="Ttulo2"/>
      </w:pPr>
      <w:r>
        <w:rPr>
          <w:vanish/>
        </w:rPr>
        <w:t xml:space="preserve">UCS117 </w:t>
      </w:r>
      <w:bookmarkStart w:id="14" w:name="_Toc404694392"/>
      <w:r>
        <w:t>Mudar Cadastrador Central</w:t>
      </w:r>
      <w:bookmarkEnd w:id="14"/>
      <w:r>
        <w:t> </w:t>
      </w:r>
    </w:p>
    <w:p w:rsidR="009A2E96" w:rsidRDefault="009A2E96" w:rsidP="009A2E96">
      <w:pPr>
        <w:pStyle w:val="Ttulo3"/>
        <w:keepNext w:val="0"/>
        <w:widowControl w:val="0"/>
        <w:spacing w:before="120" w:line="240" w:lineRule="auto"/>
      </w:pPr>
      <w:bookmarkStart w:id="15" w:name="_Toc404694393"/>
      <w:r>
        <w:t>Fluxo Básico</w:t>
      </w:r>
      <w:bookmarkEnd w:id="15"/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ator solicita a funcionalidade de mudar cadastrador central.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ator informa o CPF de um servidor ativo ou afastado dentro do agrupamento diferente do cadastrador central atual.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ator submete a operação.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  <w:highlight w:val="yellow"/>
        </w:rPr>
      </w:pPr>
      <w:r>
        <w:rPr>
          <w:szCs w:val="24"/>
          <w:highlight w:val="yellow"/>
        </w:rPr>
        <w:t>O sistema muda a situação de acesso da autorização de acesso do atual cadastrador central para “Inativo”.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  <w:highlight w:val="yellow"/>
        </w:rPr>
        <w:t>O sistema recupera todas as autorizações de acesso do atual cadastrado central de todos os órgãos do agrupamento e</w:t>
      </w:r>
      <w:proofErr w:type="gramStart"/>
      <w:r>
        <w:rPr>
          <w:szCs w:val="24"/>
          <w:highlight w:val="yellow"/>
        </w:rPr>
        <w:t xml:space="preserve">  </w:t>
      </w:r>
      <w:proofErr w:type="gramEnd"/>
      <w:r>
        <w:rPr>
          <w:szCs w:val="24"/>
          <w:highlight w:val="yellow"/>
        </w:rPr>
        <w:t>muda a situação de acesso para “Ativo” 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  <w:highlight w:val="yellow"/>
        </w:rPr>
        <w:t>O sistema cria uma nova autorização de acesso para o novo cadastrador central para o agrupamento com o tipo de usuário Cadastrador Central realizando o caso de uso “Incluir Autorização de Acesso”.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  <w:highlight w:val="yellow"/>
        </w:rPr>
        <w:t>O sistema recupera todas as autorizações de acesso de órgãos do agrupamento do novo central e muda a situação de acesso para “Inativo”.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Não é necessário existir o Cadastrador Central anterior.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 xml:space="preserve">O sistema desassocia o usuário substituto e auxiliar do cadastrador </w:t>
      </w:r>
      <w:proofErr w:type="gramStart"/>
      <w:r>
        <w:rPr>
          <w:szCs w:val="24"/>
        </w:rPr>
        <w:t>central antigo</w:t>
      </w:r>
      <w:proofErr w:type="gramEnd"/>
      <w:r>
        <w:rPr>
          <w:szCs w:val="24"/>
        </w:rPr>
        <w:t>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  <w:highlight w:val="yellow"/>
        </w:rPr>
        <w:t>O sistema recupera todas as autorizações de acesso do substituto que sejam de órgãos do agrupamento e muda a situação de acesso para “Ativo”.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  <w:highlight w:val="yellow"/>
        </w:rPr>
        <w:t>O sistema recupera a autorização de acesso do substituto e muda a situação de acesso para “Inativo”.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sistema associa para o novo cadastrador central os perfis criados pelo cadastrador central antigo e os desassocia do cadastrador antigo.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 xml:space="preserve">O sistema permite o acesso aos processos pertencentes ao cadastrador </w:t>
      </w:r>
      <w:proofErr w:type="gramStart"/>
      <w:r>
        <w:rPr>
          <w:szCs w:val="24"/>
        </w:rPr>
        <w:t>central mudado para o novo cadastrador central</w:t>
      </w:r>
      <w:proofErr w:type="gramEnd"/>
      <w:r>
        <w:rPr>
          <w:szCs w:val="24"/>
        </w:rPr>
        <w:t>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sistema verifica todos os cadastradores e operadores criados pelo cadastrador central</w:t>
      </w:r>
      <w:proofErr w:type="gramStart"/>
      <w:r>
        <w:rPr>
          <w:szCs w:val="24"/>
        </w:rPr>
        <w:t xml:space="preserve">  </w:t>
      </w:r>
      <w:proofErr w:type="gramEnd"/>
      <w:r>
        <w:rPr>
          <w:szCs w:val="24"/>
        </w:rPr>
        <w:t>antigo e associa os cadastradores e operadores que haviam sido cadastrados pelo cadastrador central antigo ao novo cadastrador central através da realização do caso de uso “UCS 045 – Trocar Responsável” 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 xml:space="preserve">O sistema vincula o novo cadastrador central ao </w:t>
      </w:r>
      <w:r>
        <w:rPr>
          <w:szCs w:val="24"/>
        </w:rPr>
        <w:lastRenderedPageBreak/>
        <w:t xml:space="preserve">mesmo agrupamento de órgão do cadastrador </w:t>
      </w:r>
      <w:proofErr w:type="gramStart"/>
      <w:r>
        <w:rPr>
          <w:szCs w:val="24"/>
        </w:rPr>
        <w:t>central antigo</w:t>
      </w:r>
      <w:proofErr w:type="gramEnd"/>
      <w:r>
        <w:rPr>
          <w:szCs w:val="24"/>
        </w:rPr>
        <w:t>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sistema valida as informações e processa a operação.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  <w:highlight w:val="cyan"/>
        </w:rPr>
      </w:pPr>
      <w:r>
        <w:rPr>
          <w:szCs w:val="24"/>
        </w:rPr>
        <w:t xml:space="preserve">O sistema exibe a mensagem </w:t>
      </w:r>
      <w:r>
        <w:rPr>
          <w:szCs w:val="24"/>
          <w:highlight w:val="cyan"/>
        </w:rPr>
        <w:t>MSG0051 ("Alteração efetuada com sucesso!"</w:t>
      </w:r>
      <w:proofErr w:type="gramStart"/>
      <w:r>
        <w:rPr>
          <w:szCs w:val="24"/>
          <w:highlight w:val="cyan"/>
        </w:rPr>
        <w:t>)</w:t>
      </w:r>
      <w:proofErr w:type="gramEnd"/>
    </w:p>
    <w:p w:rsidR="009A2E96" w:rsidRDefault="009A2E96" w:rsidP="009A2E96">
      <w:pPr>
        <w:pStyle w:val="Ttulo4"/>
        <w:numPr>
          <w:ilvl w:val="0"/>
          <w:numId w:val="0"/>
        </w:numPr>
        <w:spacing w:line="240" w:lineRule="auto"/>
        <w:ind w:left="1573" w:hanging="949"/>
        <w:rPr>
          <w:szCs w:val="24"/>
        </w:rPr>
      </w:pPr>
    </w:p>
    <w:p w:rsidR="009A2E96" w:rsidRDefault="009A2E96" w:rsidP="009A2E96">
      <w:pPr>
        <w:pStyle w:val="Ttulo3"/>
        <w:keepNext w:val="0"/>
        <w:widowControl w:val="0"/>
        <w:spacing w:before="120" w:line="240" w:lineRule="auto"/>
      </w:pPr>
      <w:bookmarkStart w:id="16" w:name="_Toc404694394"/>
      <w:r>
        <w:t>Exceções</w:t>
      </w:r>
      <w:bookmarkEnd w:id="16"/>
      <w:r>
        <w:t xml:space="preserve"> 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trike/>
          <w:szCs w:val="24"/>
          <w:highlight w:val="yellow"/>
        </w:rPr>
      </w:pPr>
      <w:r>
        <w:rPr>
          <w:strike/>
          <w:szCs w:val="24"/>
          <w:highlight w:val="yellow"/>
        </w:rPr>
        <w:t>Tentativa de informar um CPF inexistente ou inválido. O sistema emite a mensagem</w:t>
      </w:r>
      <w:proofErr w:type="gramStart"/>
      <w:r>
        <w:rPr>
          <w:strike/>
          <w:szCs w:val="24"/>
          <w:highlight w:val="yellow"/>
        </w:rPr>
        <w:t xml:space="preserve">   </w:t>
      </w:r>
      <w:proofErr w:type="gramEnd"/>
      <w:r>
        <w:rPr>
          <w:strike/>
          <w:szCs w:val="24"/>
          <w:highlight w:val="yellow"/>
        </w:rPr>
        <w:t>MSG0073 ("&lt;</w:t>
      </w:r>
      <w:proofErr w:type="spellStart"/>
      <w:r>
        <w:rPr>
          <w:strike/>
          <w:szCs w:val="24"/>
          <w:highlight w:val="yellow"/>
        </w:rPr>
        <w:t>Nome_da_Operação</w:t>
      </w:r>
      <w:proofErr w:type="spellEnd"/>
      <w:r>
        <w:rPr>
          <w:strike/>
          <w:szCs w:val="24"/>
          <w:highlight w:val="yellow"/>
        </w:rPr>
        <w:t>&gt; não efetuada. &lt;</w:t>
      </w:r>
      <w:proofErr w:type="spellStart"/>
      <w:r>
        <w:rPr>
          <w:strike/>
          <w:szCs w:val="24"/>
          <w:highlight w:val="yellow"/>
        </w:rPr>
        <w:t>Nome_do_conceito</w:t>
      </w:r>
      <w:proofErr w:type="spellEnd"/>
      <w:r>
        <w:rPr>
          <w:strike/>
          <w:szCs w:val="24"/>
          <w:highlight w:val="yellow"/>
        </w:rPr>
        <w:t>&gt; inexistente.").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Tentativa de informar um CPF que seja do cadastrador central atual. O sistema emite a mensagem MSG0579 ("O novo &lt;</w:t>
      </w:r>
      <w:proofErr w:type="spellStart"/>
      <w:r>
        <w:rPr>
          <w:szCs w:val="24"/>
        </w:rPr>
        <w:t>nome_conceito</w:t>
      </w:r>
      <w:proofErr w:type="spellEnd"/>
      <w:r>
        <w:rPr>
          <w:szCs w:val="24"/>
        </w:rPr>
        <w:t>&gt; não pode ser igual ao antigo &lt;</w:t>
      </w:r>
      <w:proofErr w:type="spellStart"/>
      <w:r>
        <w:rPr>
          <w:szCs w:val="24"/>
        </w:rPr>
        <w:t>nome_conceito</w:t>
      </w:r>
      <w:proofErr w:type="spellEnd"/>
      <w:r>
        <w:rPr>
          <w:szCs w:val="24"/>
        </w:rPr>
        <w:t>&gt;."</w:t>
      </w:r>
      <w:proofErr w:type="gramStart"/>
      <w:r>
        <w:rPr>
          <w:szCs w:val="24"/>
        </w:rPr>
        <w:t>)</w:t>
      </w:r>
      <w:proofErr w:type="gramEnd"/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CPF informado não é de servidor do agrupamento. O sistema emite a mensagem MSG0380 ("</w:t>
      </w:r>
      <w:proofErr w:type="gramStart"/>
      <w:r>
        <w:rPr>
          <w:szCs w:val="24"/>
        </w:rPr>
        <w:t>O(</w:t>
      </w:r>
      <w:proofErr w:type="gramEnd"/>
      <w:r>
        <w:rPr>
          <w:szCs w:val="24"/>
        </w:rPr>
        <w:t>a) &lt;</w:t>
      </w:r>
      <w:proofErr w:type="spellStart"/>
      <w:r>
        <w:rPr>
          <w:szCs w:val="24"/>
        </w:rPr>
        <w:t>nome_do_conceito</w:t>
      </w:r>
      <w:proofErr w:type="spellEnd"/>
      <w:r>
        <w:rPr>
          <w:szCs w:val="24"/>
        </w:rPr>
        <w:t>&gt; deve pertencer ao seu agrupamento de órgãos.")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  <w:highlight w:val="cyan"/>
        </w:rPr>
        <w:t>Tentativa de acesso sem que o ator seja do tipo Cadastrador máster. O sistema emite a mensagem MSG0107 ("Acesso negado."</w:t>
      </w:r>
      <w:proofErr w:type="gramStart"/>
      <w:r>
        <w:rPr>
          <w:szCs w:val="24"/>
          <w:highlight w:val="cyan"/>
        </w:rPr>
        <w:t>)</w:t>
      </w:r>
      <w:proofErr w:type="gramEnd"/>
    </w:p>
    <w:p w:rsidR="009A2E96" w:rsidRDefault="009A2E96" w:rsidP="009A2E96">
      <w:pPr>
        <w:pStyle w:val="Ttulo4"/>
        <w:numPr>
          <w:ilvl w:val="0"/>
          <w:numId w:val="0"/>
        </w:numPr>
        <w:spacing w:line="240" w:lineRule="auto"/>
        <w:ind w:left="1440"/>
        <w:rPr>
          <w:szCs w:val="24"/>
        </w:rPr>
      </w:pPr>
    </w:p>
    <w:p w:rsidR="009A2E96" w:rsidRDefault="009A2E96" w:rsidP="009A2E96">
      <w:pPr>
        <w:pStyle w:val="Ttulo2"/>
      </w:pPr>
      <w:r>
        <w:rPr>
          <w:vanish/>
        </w:rPr>
        <w:t xml:space="preserve">UCS326 </w:t>
      </w:r>
      <w:bookmarkStart w:id="17" w:name="_Toc404694395"/>
      <w:r>
        <w:t>L</w:t>
      </w:r>
      <w:r>
        <w:rPr>
          <w:vanish/>
        </w:rPr>
        <w:t xml:space="preserve">UCS117 </w:t>
      </w:r>
      <w:r>
        <w:t>istar Cadastradores Centrais Mudados</w:t>
      </w:r>
      <w:bookmarkEnd w:id="17"/>
      <w:r>
        <w:t> </w:t>
      </w:r>
    </w:p>
    <w:p w:rsidR="009A2E96" w:rsidRDefault="009A2E96" w:rsidP="009A2E96">
      <w:pPr>
        <w:pStyle w:val="Ttulo3"/>
        <w:keepNext w:val="0"/>
        <w:widowControl w:val="0"/>
        <w:spacing w:before="120" w:line="240" w:lineRule="auto"/>
      </w:pPr>
      <w:bookmarkStart w:id="18" w:name="_Toc404694396"/>
      <w:r>
        <w:t>Fluxo Básico</w:t>
      </w:r>
      <w:bookmarkEnd w:id="18"/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ator solicita a funcionalidade Mudar Cadastrador Central.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ator submete a operação.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sistema exibe os filtros de pesquisa.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ator informa os dados necessários e submete a operação.</w:t>
      </w:r>
    </w:p>
    <w:p w:rsidR="009A2E96" w:rsidRDefault="009A2E96" w:rsidP="009A2E96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rPr>
          <w:szCs w:val="24"/>
        </w:rPr>
        <w:t>O sistema exibe uma lista de acordo com os filtros informados.</w:t>
      </w:r>
    </w:p>
    <w:p w:rsidR="00BA040C" w:rsidRDefault="00BA040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9" w:name="_Toc77584298"/>
      <w:r>
        <w:br w:type="page"/>
      </w:r>
    </w:p>
    <w:p w:rsidR="009A2E96" w:rsidRDefault="009A2E96" w:rsidP="009A2E96">
      <w:pPr>
        <w:pStyle w:val="Ttulo1"/>
        <w:keepNext w:val="0"/>
        <w:widowControl w:val="0"/>
        <w:spacing w:before="0" w:line="240" w:lineRule="auto"/>
      </w:pPr>
      <w:bookmarkStart w:id="20" w:name="_Toc404694397"/>
      <w:r>
        <w:lastRenderedPageBreak/>
        <w:t>Anexos</w:t>
      </w:r>
      <w:bookmarkEnd w:id="19"/>
      <w:bookmarkEnd w:id="20"/>
    </w:p>
    <w:p w:rsidR="009A2E96" w:rsidRDefault="009A2E96" w:rsidP="009A2E96">
      <w:pPr>
        <w:widowControl w:val="0"/>
      </w:pPr>
      <w:r>
        <w:rPr>
          <w:rFonts w:cs="Arial"/>
        </w:rPr>
        <w:t>Não se aplica.</w:t>
      </w:r>
    </w:p>
    <w:p w:rsidR="009A2E96" w:rsidRDefault="009A2E96" w:rsidP="009A2E96">
      <w:pPr>
        <w:pStyle w:val="Ttulo1"/>
        <w:numPr>
          <w:ilvl w:val="0"/>
          <w:numId w:val="0"/>
        </w:numPr>
      </w:pPr>
    </w:p>
    <w:p w:rsidR="00BA040C" w:rsidRDefault="00BA040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A2E96" w:rsidRDefault="009A2E96" w:rsidP="009A2E96">
      <w:pPr>
        <w:pStyle w:val="Ttulo1"/>
        <w:keepNext w:val="0"/>
        <w:widowControl w:val="0"/>
        <w:tabs>
          <w:tab w:val="clear" w:pos="360"/>
        </w:tabs>
        <w:spacing w:before="0" w:line="240" w:lineRule="auto"/>
        <w:ind w:left="540" w:hanging="540"/>
      </w:pPr>
      <w:bookmarkStart w:id="21" w:name="_Toc404694398"/>
      <w:r>
        <w:lastRenderedPageBreak/>
        <w:t>Revisões</w:t>
      </w:r>
      <w:bookmarkEnd w:id="21"/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99"/>
        <w:gridCol w:w="2940"/>
        <w:gridCol w:w="524"/>
        <w:gridCol w:w="524"/>
        <w:gridCol w:w="3285"/>
      </w:tblGrid>
      <w:tr w:rsidR="009A2E96" w:rsidRPr="009A2E96" w:rsidTr="00CE0970">
        <w:trPr>
          <w:jc w:val="center"/>
        </w:trPr>
        <w:tc>
          <w:tcPr>
            <w:tcW w:w="1799" w:type="dxa"/>
            <w:tcBorders>
              <w:left w:val="single" w:sz="4" w:space="0" w:color="auto"/>
              <w:bottom w:val="single" w:sz="12" w:space="0" w:color="000000"/>
            </w:tcBorders>
          </w:tcPr>
          <w:p w:rsidR="009A2E96" w:rsidRPr="009A2E96" w:rsidRDefault="009A2E96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A2E9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2940" w:type="dxa"/>
            <w:tcBorders>
              <w:bottom w:val="single" w:sz="12" w:space="0" w:color="000000"/>
              <w:right w:val="single" w:sz="4" w:space="0" w:color="auto"/>
            </w:tcBorders>
          </w:tcPr>
          <w:p w:rsidR="009A2E96" w:rsidRPr="009A2E96" w:rsidRDefault="009A2E96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A2E9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24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2E96" w:rsidRPr="009A2E96" w:rsidRDefault="009A2E96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A2E9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24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2E96" w:rsidRPr="009A2E96" w:rsidRDefault="009A2E96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A2E9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285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2E96" w:rsidRPr="009A2E96" w:rsidRDefault="009A2E96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A2E9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A2E96" w:rsidTr="00CE0970">
        <w:trPr>
          <w:jc w:val="center"/>
        </w:trPr>
        <w:tc>
          <w:tcPr>
            <w:tcW w:w="1799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29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BA040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2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S/N/NA</w:t>
            </w:r>
          </w:p>
        </w:tc>
        <w:tc>
          <w:tcPr>
            <w:tcW w:w="52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S/N/NA</w:t>
            </w:r>
          </w:p>
        </w:tc>
        <w:tc>
          <w:tcPr>
            <w:tcW w:w="3285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trHeight w:val="568"/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cantSplit/>
          <w:trHeight w:val="154"/>
          <w:jc w:val="center"/>
        </w:trPr>
        <w:tc>
          <w:tcPr>
            <w:tcW w:w="1799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cantSplit/>
          <w:trHeight w:val="398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cantSplit/>
          <w:trHeight w:val="195"/>
          <w:jc w:val="center"/>
        </w:trPr>
        <w:tc>
          <w:tcPr>
            <w:tcW w:w="1799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cantSplit/>
          <w:trHeight w:val="34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cantSplit/>
          <w:trHeight w:val="142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cantSplit/>
          <w:trHeight w:val="34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cantSplit/>
          <w:trHeight w:val="42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cantSplit/>
          <w:trHeight w:val="25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cantSplit/>
          <w:trHeight w:val="360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Pr="00BA040C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 w:rsidRPr="00BA040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2E96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9A2E96" w:rsidRDefault="009A2E96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9A2E96" w:rsidRDefault="009A2E96" w:rsidP="00BA040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9A2E96" w:rsidRDefault="009A2E96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A2E96" w:rsidRDefault="009A2E96" w:rsidP="009A2E96">
      <w:pPr>
        <w:pStyle w:val="Cabealho"/>
        <w:widowControl w:val="0"/>
      </w:pPr>
    </w:p>
    <w:p w:rsidR="00F41655" w:rsidRPr="009A2E96" w:rsidRDefault="00F41655" w:rsidP="009A2E96"/>
    <w:sectPr w:rsidR="00F41655" w:rsidRPr="009A2E96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E96" w:rsidRDefault="009A2E96" w:rsidP="002908D9">
      <w:r>
        <w:separator/>
      </w:r>
    </w:p>
  </w:endnote>
  <w:endnote w:type="continuationSeparator" w:id="0">
    <w:p w:rsidR="009A2E96" w:rsidRDefault="009A2E9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A040C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A2E9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A040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A040C">
            <w:rPr>
              <w:sz w:val="20"/>
              <w:szCs w:val="20"/>
            </w:rPr>
            <w:t xml:space="preserve">Keila </w:t>
          </w:r>
          <w:proofErr w:type="spellStart"/>
          <w:r w:rsidRPr="00BA040C">
            <w:rPr>
              <w:sz w:val="20"/>
              <w:szCs w:val="20"/>
            </w:rPr>
            <w:t>Joanês</w:t>
          </w:r>
          <w:proofErr w:type="spellEnd"/>
          <w:r w:rsidRPr="00BA040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A040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A2E96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A040C">
            <w:rPr>
              <w:b/>
              <w:sz w:val="20"/>
              <w:szCs w:val="20"/>
            </w:rPr>
            <w:t>Acesso -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A2E96">
            <w:rPr>
              <w:b/>
              <w:sz w:val="20"/>
              <w:szCs w:val="20"/>
            </w:rPr>
            <w:t>UCS0237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A040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A040C">
            <w:rPr>
              <w:b/>
              <w:sz w:val="20"/>
              <w:szCs w:val="20"/>
            </w:rPr>
            <w:t>Mudar Cadastrador Central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E96" w:rsidRDefault="009A2E96" w:rsidP="002908D9">
      <w:r>
        <w:separator/>
      </w:r>
    </w:p>
  </w:footnote>
  <w:footnote w:type="continuationSeparator" w:id="0">
    <w:p w:rsidR="009A2E96" w:rsidRDefault="009A2E9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9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E9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4271C"/>
    <w:rsid w:val="009A2E96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A040C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2E9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A2E9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A2E9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A2E9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A2E9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9A2E96"/>
    <w:pPr>
      <w:keepNext/>
      <w:tabs>
        <w:tab w:val="num" w:pos="1717"/>
      </w:tabs>
      <w:spacing w:line="240" w:lineRule="auto"/>
      <w:ind w:left="1717" w:hanging="1008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9A2E96"/>
    <w:pPr>
      <w:keepNext/>
      <w:tabs>
        <w:tab w:val="num" w:pos="1861"/>
      </w:tabs>
      <w:spacing w:line="240" w:lineRule="auto"/>
      <w:ind w:left="1861" w:hanging="1152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9A2E96"/>
    <w:pPr>
      <w:keepNext/>
      <w:tabs>
        <w:tab w:val="num" w:pos="2005"/>
      </w:tabs>
      <w:spacing w:line="240" w:lineRule="auto"/>
      <w:ind w:left="2005" w:hanging="1296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9A2E96"/>
    <w:pPr>
      <w:keepNext/>
      <w:tabs>
        <w:tab w:val="num" w:pos="2149"/>
      </w:tabs>
      <w:spacing w:line="240" w:lineRule="auto"/>
      <w:ind w:left="2149" w:hanging="1440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9A2E96"/>
    <w:pPr>
      <w:keepNext/>
      <w:tabs>
        <w:tab w:val="num" w:pos="2293"/>
      </w:tabs>
      <w:spacing w:line="240" w:lineRule="auto"/>
      <w:ind w:left="2293" w:hanging="1584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A2E9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A2E9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A2E9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A2E96"/>
    <w:pPr>
      <w:ind w:left="0"/>
    </w:pPr>
  </w:style>
  <w:style w:type="paragraph" w:styleId="ndicedeilustraes">
    <w:name w:val="table of figures"/>
    <w:basedOn w:val="Normal"/>
    <w:next w:val="Normal"/>
    <w:semiHidden/>
    <w:rsid w:val="009A2E96"/>
  </w:style>
  <w:style w:type="paragraph" w:styleId="Sumrio2">
    <w:name w:val="toc 2"/>
    <w:basedOn w:val="Normal"/>
    <w:next w:val="Normal"/>
    <w:autoRedefine/>
    <w:uiPriority w:val="39"/>
    <w:rsid w:val="009A2E9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A2E96"/>
    <w:pPr>
      <w:ind w:left="480"/>
    </w:pPr>
  </w:style>
  <w:style w:type="character" w:styleId="Hyperlink">
    <w:name w:val="Hyperlink"/>
    <w:basedOn w:val="Fontepargpadro"/>
    <w:uiPriority w:val="99"/>
    <w:rsid w:val="009A2E9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A2E9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A2E9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A2E9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A2E9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A2E9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A2E96"/>
    <w:rPr>
      <w:sz w:val="16"/>
    </w:rPr>
  </w:style>
  <w:style w:type="character" w:styleId="Nmerodepgina">
    <w:name w:val="page number"/>
    <w:basedOn w:val="Fontepargpadro"/>
    <w:rsid w:val="009A2E9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A2E9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A2E9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A2E9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A2E96"/>
  </w:style>
  <w:style w:type="character" w:customStyle="1" w:styleId="Ttulo5Char">
    <w:name w:val="Título 5 Char"/>
    <w:basedOn w:val="Fontepargpadro"/>
    <w:link w:val="Ttulo5"/>
    <w:rsid w:val="009A2E96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9A2E96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9A2E96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9A2E96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9A2E96"/>
    <w:rPr>
      <w:rFonts w:ascii="Arial" w:hAnsi="Arial" w:cs="Arial"/>
      <w:b/>
      <w:bCs/>
      <w:i/>
      <w:iCs/>
      <w:szCs w:val="24"/>
    </w:rPr>
  </w:style>
  <w:style w:type="paragraph" w:styleId="Corpodetexto">
    <w:name w:val="Body Text"/>
    <w:basedOn w:val="Normal"/>
    <w:link w:val="CorpodetextoChar"/>
    <w:rsid w:val="009A2E9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A2E96"/>
    <w:rPr>
      <w:rFonts w:eastAsia="Arial Unicode MS"/>
    </w:rPr>
  </w:style>
  <w:style w:type="paragraph" w:customStyle="1" w:styleId="tabletext">
    <w:name w:val="tabletext"/>
    <w:basedOn w:val="Normal"/>
    <w:rsid w:val="009A2E9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9A2E9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A2E9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A2E9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A2E9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A2E9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A2E9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A2E9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2E9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A2E9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A2E9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A2E9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A2E9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9A2E96"/>
    <w:pPr>
      <w:keepNext/>
      <w:tabs>
        <w:tab w:val="num" w:pos="1717"/>
      </w:tabs>
      <w:spacing w:line="240" w:lineRule="auto"/>
      <w:ind w:left="1717" w:hanging="1008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9A2E96"/>
    <w:pPr>
      <w:keepNext/>
      <w:tabs>
        <w:tab w:val="num" w:pos="1861"/>
      </w:tabs>
      <w:spacing w:line="240" w:lineRule="auto"/>
      <w:ind w:left="1861" w:hanging="1152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9A2E96"/>
    <w:pPr>
      <w:keepNext/>
      <w:tabs>
        <w:tab w:val="num" w:pos="2005"/>
      </w:tabs>
      <w:spacing w:line="240" w:lineRule="auto"/>
      <w:ind w:left="2005" w:hanging="1296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9A2E96"/>
    <w:pPr>
      <w:keepNext/>
      <w:tabs>
        <w:tab w:val="num" w:pos="2149"/>
      </w:tabs>
      <w:spacing w:line="240" w:lineRule="auto"/>
      <w:ind w:left="2149" w:hanging="1440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9A2E96"/>
    <w:pPr>
      <w:keepNext/>
      <w:tabs>
        <w:tab w:val="num" w:pos="2293"/>
      </w:tabs>
      <w:spacing w:line="240" w:lineRule="auto"/>
      <w:ind w:left="2293" w:hanging="1584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A2E9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A2E9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A2E9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A2E96"/>
    <w:pPr>
      <w:ind w:left="0"/>
    </w:pPr>
  </w:style>
  <w:style w:type="paragraph" w:styleId="ndicedeilustraes">
    <w:name w:val="table of figures"/>
    <w:basedOn w:val="Normal"/>
    <w:next w:val="Normal"/>
    <w:semiHidden/>
    <w:rsid w:val="009A2E96"/>
  </w:style>
  <w:style w:type="paragraph" w:styleId="Sumrio2">
    <w:name w:val="toc 2"/>
    <w:basedOn w:val="Normal"/>
    <w:next w:val="Normal"/>
    <w:autoRedefine/>
    <w:uiPriority w:val="39"/>
    <w:rsid w:val="009A2E9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A2E96"/>
    <w:pPr>
      <w:ind w:left="480"/>
    </w:pPr>
  </w:style>
  <w:style w:type="character" w:styleId="Hyperlink">
    <w:name w:val="Hyperlink"/>
    <w:basedOn w:val="Fontepargpadro"/>
    <w:uiPriority w:val="99"/>
    <w:rsid w:val="009A2E9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A2E9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A2E9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A2E9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A2E9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A2E9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A2E96"/>
    <w:rPr>
      <w:sz w:val="16"/>
    </w:rPr>
  </w:style>
  <w:style w:type="character" w:styleId="Nmerodepgina">
    <w:name w:val="page number"/>
    <w:basedOn w:val="Fontepargpadro"/>
    <w:rsid w:val="009A2E9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A2E9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A2E9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A2E9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A2E96"/>
  </w:style>
  <w:style w:type="character" w:customStyle="1" w:styleId="Ttulo5Char">
    <w:name w:val="Título 5 Char"/>
    <w:basedOn w:val="Fontepargpadro"/>
    <w:link w:val="Ttulo5"/>
    <w:rsid w:val="009A2E96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9A2E96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9A2E96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9A2E96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9A2E96"/>
    <w:rPr>
      <w:rFonts w:ascii="Arial" w:hAnsi="Arial" w:cs="Arial"/>
      <w:b/>
      <w:bCs/>
      <w:i/>
      <w:iCs/>
      <w:szCs w:val="24"/>
    </w:rPr>
  </w:style>
  <w:style w:type="paragraph" w:styleId="Corpodetexto">
    <w:name w:val="Body Text"/>
    <w:basedOn w:val="Normal"/>
    <w:link w:val="CorpodetextoChar"/>
    <w:rsid w:val="009A2E9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A2E96"/>
    <w:rPr>
      <w:rFonts w:eastAsia="Arial Unicode MS"/>
    </w:rPr>
  </w:style>
  <w:style w:type="paragraph" w:customStyle="1" w:styleId="tabletext">
    <w:name w:val="tabletext"/>
    <w:basedOn w:val="Normal"/>
    <w:rsid w:val="009A2E9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9A2E9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A2E9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A2E9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A2E9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A2E9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A2E9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A2E9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65AD9A-D0B3-42DD-AAAD-22135C5C1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973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7116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2014-11-08T21:16:00Z</cp:lastPrinted>
  <dcterms:created xsi:type="dcterms:W3CDTF">2014-11-08T21:15:00Z</dcterms:created>
  <dcterms:modified xsi:type="dcterms:W3CDTF">2014-11-25T17:57:00Z</dcterms:modified>
</cp:coreProperties>
</file>