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37D6" w:rsidRDefault="00E137D6" w:rsidP="00E137D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137D6" w:rsidRDefault="00E137D6" w:rsidP="00E137D6">
      <w:pPr>
        <w:widowControl w:val="0"/>
        <w:rPr>
          <w:rFonts w:cs="Arial"/>
          <w:sz w:val="20"/>
        </w:rPr>
      </w:pPr>
    </w:p>
    <w:p w:rsidR="00E137D6" w:rsidRDefault="00E137D6" w:rsidP="00E137D6">
      <w:pPr>
        <w:widowControl w:val="0"/>
        <w:rPr>
          <w:rFonts w:cs="Arial"/>
          <w:sz w:val="20"/>
        </w:rPr>
      </w:pPr>
    </w:p>
    <w:p w:rsidR="00E137D6" w:rsidRDefault="00E137D6" w:rsidP="00E137D6">
      <w:pPr>
        <w:widowControl w:val="0"/>
        <w:rPr>
          <w:rFonts w:cs="Arial"/>
          <w:sz w:val="20"/>
        </w:rPr>
      </w:pPr>
    </w:p>
    <w:p w:rsidR="00E137D6" w:rsidRDefault="00E137D6" w:rsidP="00E137D6">
      <w:pPr>
        <w:widowControl w:val="0"/>
        <w:rPr>
          <w:rFonts w:cs="Arial"/>
          <w:sz w:val="20"/>
        </w:rPr>
      </w:pPr>
    </w:p>
    <w:p w:rsidR="00E137D6" w:rsidRDefault="00E137D6" w:rsidP="00E137D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137D6" w:rsidRDefault="00E137D6" w:rsidP="00E137D6">
      <w:pPr>
        <w:widowControl w:val="0"/>
        <w:rPr>
          <w:rFonts w:cs="Arial"/>
          <w:sz w:val="20"/>
          <w:u w:val="single"/>
        </w:rPr>
      </w:pPr>
    </w:p>
    <w:p w:rsidR="00E137D6" w:rsidRDefault="00E137D6" w:rsidP="00E137D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137D6" w:rsidRDefault="00E137D6" w:rsidP="00E137D6">
      <w:pPr>
        <w:widowControl w:val="0"/>
        <w:rPr>
          <w:rFonts w:cs="Arial"/>
          <w:sz w:val="20"/>
        </w:rPr>
      </w:pPr>
    </w:p>
    <w:p w:rsidR="00E137D6" w:rsidRDefault="00E137D6" w:rsidP="00E137D6">
      <w:pPr>
        <w:widowControl w:val="0"/>
        <w:rPr>
          <w:rFonts w:cs="Arial"/>
          <w:sz w:val="20"/>
        </w:rPr>
      </w:pPr>
    </w:p>
    <w:p w:rsidR="00E137D6" w:rsidRDefault="00E137D6" w:rsidP="00E137D6">
      <w:pPr>
        <w:widowControl w:val="0"/>
        <w:rPr>
          <w:rFonts w:cs="Arial"/>
          <w:sz w:val="20"/>
        </w:rPr>
      </w:pPr>
    </w:p>
    <w:p w:rsidR="00E137D6" w:rsidRDefault="00E137D6" w:rsidP="00E137D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137D6" w:rsidRDefault="00E137D6" w:rsidP="00E137D6">
      <w:pPr>
        <w:widowControl w:val="0"/>
        <w:rPr>
          <w:rFonts w:cs="Arial"/>
          <w:sz w:val="20"/>
        </w:rPr>
      </w:pPr>
    </w:p>
    <w:p w:rsidR="00E137D6" w:rsidRDefault="00E137D6" w:rsidP="00E137D6">
      <w:pPr>
        <w:widowControl w:val="0"/>
        <w:rPr>
          <w:rFonts w:cs="Arial"/>
          <w:sz w:val="20"/>
        </w:rPr>
      </w:pPr>
    </w:p>
    <w:p w:rsidR="00E137D6" w:rsidRDefault="00E137D6" w:rsidP="00E137D6">
      <w:pPr>
        <w:widowControl w:val="0"/>
        <w:rPr>
          <w:rFonts w:cs="Arial"/>
        </w:rPr>
      </w:pPr>
    </w:p>
    <w:p w:rsidR="00E137D6" w:rsidRDefault="00E137D6" w:rsidP="00E137D6">
      <w:pPr>
        <w:pStyle w:val="Capa"/>
        <w:rPr>
          <w:color w:val="FF9900"/>
        </w:rPr>
      </w:pPr>
      <w:r>
        <w:t>SINDRAPE</w:t>
      </w:r>
    </w:p>
    <w:p w:rsidR="00E137D6" w:rsidRDefault="00E137D6" w:rsidP="00E137D6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137D6" w:rsidRPr="00E137D6" w:rsidRDefault="00E137D6" w:rsidP="00E137D6">
      <w:pPr>
        <w:widowControl w:val="0"/>
        <w:rPr>
          <w:color w:val="000080"/>
        </w:rPr>
      </w:pPr>
    </w:p>
    <w:p w:rsidR="00E137D6" w:rsidRPr="00E137D6" w:rsidRDefault="00E137D6" w:rsidP="00E137D6">
      <w:pPr>
        <w:widowControl w:val="0"/>
        <w:jc w:val="right"/>
        <w:rPr>
          <w:rFonts w:cs="Arial"/>
          <w:b/>
          <w:bCs/>
          <w:color w:val="000080"/>
        </w:rPr>
      </w:pPr>
    </w:p>
    <w:p w:rsidR="00E137D6" w:rsidRDefault="00E137D6" w:rsidP="00E137D6">
      <w:pPr>
        <w:pStyle w:val="Capa"/>
      </w:pPr>
      <w:r>
        <w:t>UCS0433</w:t>
      </w:r>
      <w:r w:rsidR="00EE74F8">
        <w:t xml:space="preserve"> </w:t>
      </w:r>
      <w:r>
        <w:t xml:space="preserve">– Manter Parâmetros de Férias </w:t>
      </w:r>
      <w:r w:rsidR="00EE74F8">
        <w:t>para</w:t>
      </w:r>
      <w:r>
        <w:t xml:space="preserve"> Unidade</w:t>
      </w:r>
      <w:r w:rsidR="00EE74F8">
        <w:t>s Organizacionais</w:t>
      </w:r>
    </w:p>
    <w:p w:rsidR="00E137D6" w:rsidRDefault="00E137D6" w:rsidP="00E137D6">
      <w:pPr>
        <w:widowControl w:val="0"/>
        <w:rPr>
          <w:rFonts w:cs="Arial"/>
        </w:rPr>
      </w:pPr>
    </w:p>
    <w:p w:rsidR="00E137D6" w:rsidRDefault="00E137D6" w:rsidP="00E137D6">
      <w:pPr>
        <w:widowControl w:val="0"/>
      </w:pPr>
    </w:p>
    <w:p w:rsidR="00E137D6" w:rsidRDefault="00E137D6" w:rsidP="00E137D6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E137D6" w:rsidRPr="00E137D6" w:rsidRDefault="00E137D6" w:rsidP="00E137D6">
      <w:pPr>
        <w:pStyle w:val="Corpodetexto3"/>
        <w:widowControl w:val="0"/>
        <w:spacing w:after="0"/>
        <w:rPr>
          <w:rFonts w:cs="Arial"/>
        </w:rPr>
      </w:pPr>
      <w:r w:rsidRPr="00E137D6">
        <w:rPr>
          <w:rFonts w:cs="Arial"/>
        </w:rPr>
        <w:lastRenderedPageBreak/>
        <w:t>Histórico de Revisões</w:t>
      </w:r>
    </w:p>
    <w:p w:rsidR="00E137D6" w:rsidRDefault="00E137D6" w:rsidP="00E137D6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E137D6" w:rsidTr="00E137D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E137D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E137D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E137D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E137D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E137D6" w:rsidTr="00E137D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E137D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09/01/2006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E137D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E137D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E137D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Brandão</w:t>
            </w:r>
          </w:p>
        </w:tc>
      </w:tr>
      <w:tr w:rsidR="00E137D6" w:rsidTr="00E137D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E137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E137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E137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E137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E137D6" w:rsidTr="00E137D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E137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E137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E137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E137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E137D6" w:rsidTr="00E137D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E137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E137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E137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E137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E137D6" w:rsidRDefault="00E137D6" w:rsidP="00E137D6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E137D6" w:rsidRPr="00E137D6" w:rsidRDefault="00E137D6" w:rsidP="00E137D6">
      <w:pPr>
        <w:pStyle w:val="Corpodetexto3"/>
        <w:widowControl w:val="0"/>
        <w:spacing w:after="0"/>
        <w:jc w:val="left"/>
        <w:rPr>
          <w:rFonts w:cs="Arial"/>
        </w:rPr>
      </w:pPr>
      <w:r w:rsidRPr="00E137D6">
        <w:rPr>
          <w:rFonts w:cs="Arial"/>
        </w:rPr>
        <w:lastRenderedPageBreak/>
        <w:t>Índice</w:t>
      </w:r>
    </w:p>
    <w:p w:rsidR="00EE74F8" w:rsidRDefault="00E137D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75467" w:history="1">
        <w:r w:rsidR="00EE74F8" w:rsidRPr="00D11141">
          <w:rPr>
            <w:rStyle w:val="Hyperlink"/>
            <w:noProof/>
          </w:rPr>
          <w:t>1.</w:t>
        </w:r>
        <w:r w:rsidR="00EE74F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E74F8" w:rsidRPr="00D11141">
          <w:rPr>
            <w:rStyle w:val="Hyperlink"/>
            <w:noProof/>
          </w:rPr>
          <w:t>Pacote/Caso de Uso</w:t>
        </w:r>
        <w:r w:rsidR="00EE74F8">
          <w:rPr>
            <w:noProof/>
            <w:webHidden/>
          </w:rPr>
          <w:tab/>
        </w:r>
        <w:r w:rsidR="00EE74F8">
          <w:rPr>
            <w:noProof/>
            <w:webHidden/>
          </w:rPr>
          <w:fldChar w:fldCharType="begin"/>
        </w:r>
        <w:r w:rsidR="00EE74F8">
          <w:rPr>
            <w:noProof/>
            <w:webHidden/>
          </w:rPr>
          <w:instrText xml:space="preserve"> PAGEREF _Toc404775467 \h </w:instrText>
        </w:r>
        <w:r w:rsidR="00EE74F8">
          <w:rPr>
            <w:noProof/>
            <w:webHidden/>
          </w:rPr>
        </w:r>
        <w:r w:rsidR="00EE74F8">
          <w:rPr>
            <w:noProof/>
            <w:webHidden/>
          </w:rPr>
          <w:fldChar w:fldCharType="separate"/>
        </w:r>
        <w:r w:rsidR="00EE74F8">
          <w:rPr>
            <w:noProof/>
            <w:webHidden/>
          </w:rPr>
          <w:t>4</w:t>
        </w:r>
        <w:r w:rsidR="00EE74F8">
          <w:rPr>
            <w:noProof/>
            <w:webHidden/>
          </w:rPr>
          <w:fldChar w:fldCharType="end"/>
        </w:r>
      </w:hyperlink>
    </w:p>
    <w:p w:rsidR="00EE74F8" w:rsidRDefault="00EE74F8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468" w:history="1">
        <w:r w:rsidRPr="00D11141">
          <w:rPr>
            <w:rStyle w:val="Hyperlink"/>
            <w:noProof/>
          </w:rPr>
          <w:t>Manter Parâmetros de Férias para Unidades Organizacionais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E74F8" w:rsidRDefault="00EE74F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469" w:history="1">
        <w:r w:rsidRPr="00D1114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11141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E74F8" w:rsidRDefault="00EE74F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470" w:history="1">
        <w:r w:rsidRPr="00D11141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11141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E74F8" w:rsidRDefault="00EE74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471" w:history="1">
        <w:r w:rsidRPr="00D1114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11141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E74F8" w:rsidRDefault="00EE74F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472" w:history="1">
        <w:r w:rsidRPr="00D11141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11141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E74F8" w:rsidRDefault="00EE74F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473" w:history="1">
        <w:r w:rsidRPr="00D11141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11141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E74F8" w:rsidRDefault="00EE74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474" w:history="1">
        <w:r w:rsidRPr="00D1114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11141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E74F8" w:rsidRDefault="00EE74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475" w:history="1">
        <w:r w:rsidRPr="00D1114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11141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E74F8" w:rsidRDefault="00EE74F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476" w:history="1">
        <w:r w:rsidRPr="00D11141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11141">
          <w:rPr>
            <w:rStyle w:val="Hyperlink"/>
            <w:noProof/>
          </w:rPr>
          <w:t>Incluir Parâmetros de Férias no Órgão para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E74F8" w:rsidRDefault="00EE74F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477" w:history="1">
        <w:r w:rsidRPr="00D11141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1114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E74F8" w:rsidRDefault="00EE74F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478" w:history="1">
        <w:r w:rsidRPr="00D11141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11141">
          <w:rPr>
            <w:rStyle w:val="Hyperlink"/>
            <w:noProof/>
          </w:rPr>
          <w:t>Fluxo Alternativo – Pesquisa de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E74F8" w:rsidRDefault="00EE74F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479" w:history="1">
        <w:r w:rsidRPr="00D11141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11141">
          <w:rPr>
            <w:rStyle w:val="Hyperlink"/>
            <w:noProof/>
          </w:rPr>
          <w:t>Alterar Parâmetros de Férias no Órgão para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E74F8" w:rsidRDefault="00EE74F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480" w:history="1">
        <w:r w:rsidRPr="00D11141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1114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E74F8" w:rsidRDefault="00EE74F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481" w:history="1">
        <w:r w:rsidRPr="00D11141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11141">
          <w:rPr>
            <w:rStyle w:val="Hyperlink"/>
            <w:noProof/>
          </w:rPr>
          <w:t>Excluir Parâmetros de Férias no Órgão para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E74F8" w:rsidRDefault="00EE74F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482" w:history="1">
        <w:r w:rsidRPr="00D11141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1114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E74F8" w:rsidRDefault="00EE74F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483" w:history="1">
        <w:r w:rsidRPr="00D11141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11141">
          <w:rPr>
            <w:rStyle w:val="Hyperlink"/>
            <w:noProof/>
          </w:rPr>
          <w:t>Listar Parâmetros de Férias da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E74F8" w:rsidRDefault="00EE74F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484" w:history="1">
        <w:r w:rsidRPr="00D11141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1114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E74F8" w:rsidRDefault="00EE74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485" w:history="1">
        <w:r w:rsidRPr="00D11141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11141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E74F8" w:rsidRDefault="00EE74F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486" w:history="1">
        <w:r w:rsidRPr="00D11141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11141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E74F8" w:rsidRDefault="00EE74F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487" w:history="1">
        <w:r w:rsidRPr="00D11141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11141">
          <w:rPr>
            <w:rStyle w:val="Hyperlink"/>
            <w:noProof/>
          </w:rPr>
          <w:t>RN01: Verificar duplicidade de parâmetro no Órgão para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E74F8" w:rsidRDefault="00EE74F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488" w:history="1">
        <w:r w:rsidRPr="00D11141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11141">
          <w:rPr>
            <w:rStyle w:val="Hyperlink"/>
            <w:noProof/>
          </w:rPr>
          <w:t>RN02: Verificar Obrigatoriedade de campos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E74F8" w:rsidRDefault="00EE74F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489" w:history="1">
        <w:r w:rsidRPr="00D11141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11141">
          <w:rPr>
            <w:rStyle w:val="Hyperlink"/>
            <w:noProof/>
          </w:rPr>
          <w:t>RN03: Validação de Vigência conforme a operação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E74F8" w:rsidRDefault="00EE74F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490" w:history="1">
        <w:r w:rsidRPr="00D11141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11141">
          <w:rPr>
            <w:rStyle w:val="Hyperlink"/>
            <w:noProof/>
          </w:rPr>
          <w:t>RN04: Verificar existência Períodos Aquisitivos Férias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E74F8" w:rsidRDefault="00EE74F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491" w:history="1">
        <w:r w:rsidRPr="00D11141">
          <w:rPr>
            <w:rStyle w:val="Hyperlink"/>
            <w:rFonts w:eastAsia="Arial Unicode MS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11141">
          <w:rPr>
            <w:rStyle w:val="Hyperlink"/>
            <w:noProof/>
          </w:rPr>
          <w:t>Órgãos: parâmetros de férias para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E74F8" w:rsidRDefault="00EE74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492" w:history="1">
        <w:r w:rsidRPr="00D11141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11141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137D6" w:rsidRDefault="00E137D6" w:rsidP="00E137D6">
      <w:pPr>
        <w:pStyle w:val="Sumrio1"/>
      </w:pPr>
      <w:r>
        <w:fldChar w:fldCharType="end"/>
      </w:r>
    </w:p>
    <w:p w:rsidR="00E137D6" w:rsidRDefault="00E137D6" w:rsidP="00E137D6">
      <w:pPr>
        <w:widowControl w:val="0"/>
        <w:rPr>
          <w:rFonts w:cs="Arial"/>
          <w:b/>
          <w:bCs/>
          <w:color w:val="000000"/>
        </w:rPr>
      </w:pPr>
    </w:p>
    <w:p w:rsidR="00E137D6" w:rsidRDefault="00E137D6" w:rsidP="00E137D6">
      <w:pPr>
        <w:pStyle w:val="Heading"/>
      </w:pPr>
    </w:p>
    <w:p w:rsidR="00E137D6" w:rsidRDefault="00E137D6" w:rsidP="00E137D6">
      <w:pPr>
        <w:pStyle w:val="Heading"/>
        <w:jc w:val="center"/>
      </w:pPr>
    </w:p>
    <w:p w:rsidR="00E137D6" w:rsidRDefault="00E137D6" w:rsidP="00E137D6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E137D6" w:rsidRDefault="00E137D6" w:rsidP="00E137D6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775467"/>
      <w:r>
        <w:lastRenderedPageBreak/>
        <w:t>Pacote/Caso de Uso</w:t>
      </w:r>
      <w:bookmarkEnd w:id="0"/>
    </w:p>
    <w:p w:rsidR="00E137D6" w:rsidRDefault="00E137D6" w:rsidP="00E137D6"/>
    <w:p w:rsidR="00E137D6" w:rsidRDefault="00E137D6" w:rsidP="00EE74F8">
      <w:pPr>
        <w:pStyle w:val="Subttulo"/>
      </w:pPr>
      <w:bookmarkStart w:id="1" w:name="_Toc404775468"/>
      <w:r>
        <w:t xml:space="preserve">Manter Parâmetros de Férias </w:t>
      </w:r>
      <w:r w:rsidR="00EE74F8">
        <w:t>para Unidades Organizacionais</w:t>
      </w:r>
      <w:bookmarkEnd w:id="1"/>
    </w:p>
    <w:p w:rsidR="00E137D6" w:rsidRDefault="00E137D6" w:rsidP="00E137D6">
      <w:pPr>
        <w:widowControl w:val="0"/>
        <w:ind w:left="902"/>
        <w:rPr>
          <w:rFonts w:cs="Arial"/>
          <w:b/>
          <w:bCs/>
          <w:color w:val="FF0000"/>
        </w:rPr>
      </w:pPr>
    </w:p>
    <w:p w:rsidR="00E137D6" w:rsidRDefault="00E137D6" w:rsidP="00E137D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2" w:name="_Toc404775469"/>
      <w:r>
        <w:t>Descrição</w:t>
      </w:r>
      <w:bookmarkEnd w:id="2"/>
    </w:p>
    <w:p w:rsidR="00E137D6" w:rsidRDefault="00E137D6" w:rsidP="00E137D6">
      <w:pPr>
        <w:pStyle w:val="Recuodecorpodetexto2"/>
        <w:widowControl w:val="0"/>
        <w:ind w:left="1620" w:firstLine="0"/>
        <w:rPr>
          <w:sz w:val="24"/>
        </w:rPr>
      </w:pPr>
    </w:p>
    <w:p w:rsidR="00E137D6" w:rsidRDefault="00E137D6" w:rsidP="00E137D6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parâmetros de férias da unidade organizacional.</w:t>
      </w:r>
    </w:p>
    <w:p w:rsidR="00E137D6" w:rsidRDefault="00E137D6" w:rsidP="00E137D6">
      <w:pPr>
        <w:pStyle w:val="Recuodecorpodetexto2"/>
        <w:widowControl w:val="0"/>
        <w:ind w:left="1620" w:firstLine="0"/>
        <w:rPr>
          <w:sz w:val="24"/>
        </w:rPr>
      </w:pPr>
    </w:p>
    <w:p w:rsidR="00E137D6" w:rsidRDefault="00E137D6" w:rsidP="00E137D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3" w:name="_Toc404775470"/>
      <w:r>
        <w:t>Requisitos atendidos</w:t>
      </w:r>
      <w:bookmarkEnd w:id="3"/>
    </w:p>
    <w:p w:rsidR="00E137D6" w:rsidRDefault="00E137D6" w:rsidP="00E137D6"/>
    <w:p w:rsidR="00E137D6" w:rsidRDefault="00E137D6" w:rsidP="00E137D6">
      <w:pPr>
        <w:pStyle w:val="Recuodecorpodetexto"/>
        <w:ind w:left="1260"/>
      </w:pPr>
      <w:r>
        <w:t>R2 – Manter programação de férias individuais</w:t>
      </w:r>
    </w:p>
    <w:p w:rsidR="00E137D6" w:rsidRDefault="00E137D6" w:rsidP="00E137D6">
      <w:pPr>
        <w:pStyle w:val="Recuodecorpodetexto"/>
        <w:ind w:left="1260"/>
      </w:pPr>
      <w:r>
        <w:t>R3 – Manter programação de férias coletivas</w:t>
      </w:r>
    </w:p>
    <w:p w:rsidR="00E137D6" w:rsidRDefault="00E137D6" w:rsidP="00E137D6"/>
    <w:p w:rsidR="00E137D6" w:rsidRDefault="00E137D6" w:rsidP="00E137D6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75471"/>
      <w:r>
        <w:t>Conceito</w:t>
      </w:r>
      <w:bookmarkEnd w:id="4"/>
      <w:r>
        <w:tab/>
      </w:r>
    </w:p>
    <w:p w:rsidR="00E137D6" w:rsidRDefault="00E137D6" w:rsidP="00E137D6"/>
    <w:p w:rsidR="00E137D6" w:rsidRDefault="00E137D6" w:rsidP="00E137D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5" w:name="_Toc404775472"/>
      <w:r>
        <w:t>Conceitos principais</w:t>
      </w:r>
      <w:bookmarkEnd w:id="5"/>
    </w:p>
    <w:p w:rsidR="00E137D6" w:rsidRDefault="00E137D6" w:rsidP="00E137D6">
      <w:pPr>
        <w:pStyle w:val="Cabealho"/>
        <w:ind w:left="1080"/>
        <w:rPr>
          <w:rFonts w:cs="Arial"/>
        </w:rPr>
      </w:pPr>
      <w:r>
        <w:rPr>
          <w:rFonts w:cs="Arial"/>
        </w:rPr>
        <w:t>Férias</w:t>
      </w:r>
    </w:p>
    <w:p w:rsidR="00E137D6" w:rsidRDefault="00E137D6" w:rsidP="00E137D6">
      <w:pPr>
        <w:pStyle w:val="Cabealho"/>
        <w:ind w:left="1080"/>
        <w:rPr>
          <w:rFonts w:cs="Arial"/>
        </w:rPr>
      </w:pPr>
      <w:r>
        <w:rPr>
          <w:rFonts w:cs="Arial"/>
        </w:rPr>
        <w:t>Unidade organizacional</w:t>
      </w:r>
    </w:p>
    <w:p w:rsidR="00E137D6" w:rsidRDefault="00E137D6" w:rsidP="00E137D6">
      <w:pPr>
        <w:rPr>
          <w:rFonts w:cs="Arial"/>
        </w:rPr>
      </w:pPr>
    </w:p>
    <w:p w:rsidR="00E137D6" w:rsidRDefault="00E137D6" w:rsidP="00E137D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6" w:name="_Toc404775473"/>
      <w:r>
        <w:t>Conceitos associados</w:t>
      </w:r>
      <w:bookmarkEnd w:id="6"/>
    </w:p>
    <w:p w:rsidR="00E137D6" w:rsidRDefault="00E137D6" w:rsidP="00E137D6">
      <w:pPr>
        <w:pStyle w:val="Cabealho"/>
        <w:ind w:left="1080"/>
        <w:rPr>
          <w:rFonts w:cs="Arial"/>
        </w:rPr>
      </w:pPr>
      <w:r>
        <w:rPr>
          <w:rFonts w:cs="Arial"/>
        </w:rPr>
        <w:t>Não se aplica</w:t>
      </w:r>
    </w:p>
    <w:p w:rsidR="00E137D6" w:rsidRDefault="00E137D6" w:rsidP="00E137D6">
      <w:pPr>
        <w:rPr>
          <w:rFonts w:eastAsia="Arial Unicode MS"/>
        </w:rPr>
      </w:pPr>
    </w:p>
    <w:p w:rsidR="00E137D6" w:rsidRDefault="00E137D6" w:rsidP="00E137D6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75474"/>
      <w:r>
        <w:lastRenderedPageBreak/>
        <w:t>Diagrama</w:t>
      </w:r>
      <w:bookmarkEnd w:id="7"/>
    </w:p>
    <w:p w:rsidR="00E137D6" w:rsidRDefault="00E137D6" w:rsidP="00E137D6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E137D6" w:rsidRDefault="00EE74F8" w:rsidP="00E137D6">
      <w:pPr>
        <w:widowControl w:val="0"/>
        <w:jc w:val="center"/>
        <w:rPr>
          <w:rFonts w:cs="Arial"/>
        </w:rPr>
      </w:pPr>
      <w:r>
        <w:object w:dxaOrig="8821" w:dyaOrig="44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41pt;height:224.25pt" o:ole="">
            <v:imagedata r:id="rId9" o:title=""/>
          </v:shape>
          <o:OLEObject Type="Embed" ProgID="Word.Picture.8" ShapeID="_x0000_i1029" DrawAspect="Content" ObjectID="_1478517328" r:id="rId10"/>
        </w:object>
      </w:r>
    </w:p>
    <w:p w:rsidR="00E137D6" w:rsidRDefault="00E137D6" w:rsidP="00E137D6">
      <w:pPr>
        <w:widowControl w:val="0"/>
        <w:jc w:val="center"/>
        <w:rPr>
          <w:rFonts w:cs="Arial"/>
        </w:rPr>
      </w:pPr>
    </w:p>
    <w:p w:rsidR="00E137D6" w:rsidRDefault="00E137D6" w:rsidP="00E137D6">
      <w:pPr>
        <w:pStyle w:val="Ttulo1"/>
        <w:keepNext w:val="0"/>
        <w:widowControl w:val="0"/>
        <w:spacing w:before="0" w:line="240" w:lineRule="auto"/>
        <w:ind w:left="540" w:hanging="540"/>
      </w:pPr>
      <w:bookmarkStart w:id="8" w:name="_GoBack"/>
      <w:bookmarkEnd w:id="8"/>
      <w:r>
        <w:rPr>
          <w:b w:val="0"/>
          <w:bCs w:val="0"/>
        </w:rPr>
        <w:br w:type="page"/>
      </w:r>
      <w:bookmarkStart w:id="9" w:name="_Toc404775475"/>
      <w:r>
        <w:lastRenderedPageBreak/>
        <w:t>Casos de Uso</w:t>
      </w:r>
      <w:bookmarkEnd w:id="9"/>
    </w:p>
    <w:p w:rsidR="00E137D6" w:rsidRDefault="00E137D6" w:rsidP="00E137D6">
      <w:pPr>
        <w:pStyle w:val="Ttulo2"/>
      </w:pPr>
      <w:r>
        <w:rPr>
          <w:vanish/>
        </w:rPr>
        <w:t xml:space="preserve">UCS394 </w:t>
      </w:r>
      <w:bookmarkStart w:id="10" w:name="_Toc404775476"/>
      <w:r>
        <w:t>Incluir Parâmetros de Férias no Órgão para Unidade Organizacional</w:t>
      </w:r>
      <w:bookmarkEnd w:id="10"/>
    </w:p>
    <w:p w:rsidR="00E137D6" w:rsidRDefault="00E137D6" w:rsidP="00E137D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75477"/>
      <w:r>
        <w:t>Fluxo Básico</w:t>
      </w:r>
      <w:bookmarkEnd w:id="11"/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ator solicita a funcionalidade de manutenção de parâmetros de Férias no Órgão para Unidade Organizacional e seleciona </w:t>
      </w:r>
      <w:proofErr w:type="gramStart"/>
      <w:r>
        <w:t>a opção novo</w:t>
      </w:r>
      <w:proofErr w:type="gramEnd"/>
      <w:r>
        <w:t>.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apresenta o formulário para preenchimento dos parâmetros.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ator informa a data inicial de vigência dos parâmetros. 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ou pesquisa a Unidade Organizacional.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ator preenche </w:t>
      </w:r>
      <w:proofErr w:type="gramStart"/>
      <w:r>
        <w:t>os parâmetros da lista quantitativo mensal máximo de servidores permitidos a usufruir férias</w:t>
      </w:r>
      <w:proofErr w:type="gramEnd"/>
      <w:r>
        <w:t xml:space="preserve"> e submete a operação de inclusão. 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executa as regras de negócios: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 </w:t>
      </w:r>
      <w:r>
        <w:noBreakHyphen/>
        <w:t> RN01: Verificar duplicidade de parâmetro no Órgão para a Unidade Organizacional.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 </w:t>
      </w:r>
      <w:r>
        <w:noBreakHyphen/>
        <w:t> RN02: Verificar obrigatoriedade de campos.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inclui os parâmetros de férias no órgão para a unidade organizacional.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inclui Quantitativo Mensal Máximo de Servidores Permitidos a Usufruir Férias.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E137D6" w:rsidRDefault="00E137D6" w:rsidP="00E137D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775478"/>
      <w:r>
        <w:t>Fluxo Alternativo – Pesquisa de Unidade Organizacional</w:t>
      </w:r>
      <w:bookmarkEnd w:id="12"/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seleciona a opção de pesquisa de unidade auxiliar de organizacional.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apresenta a página de pesquisa auxiliar de unidade organizacional para o Órgão do ator apenas, não permitindo selecionar outro órgão. 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realiza a pesquisa e recebe da página de pesquisa a identificação e o nome da unidade organizacional.</w:t>
      </w:r>
    </w:p>
    <w:p w:rsidR="00E137D6" w:rsidRDefault="00E137D6" w:rsidP="00E137D6">
      <w:pPr>
        <w:pStyle w:val="Ttulo2"/>
      </w:pPr>
      <w:r>
        <w:rPr>
          <w:vanish/>
        </w:rPr>
        <w:t xml:space="preserve">UCSpending1 UCS395 </w:t>
      </w:r>
      <w:bookmarkStart w:id="13" w:name="_Toc404775479"/>
      <w:r>
        <w:t>Alterar Parâmetros de Férias no Órgão para Unidade Organizacional</w:t>
      </w:r>
      <w:bookmarkEnd w:id="13"/>
    </w:p>
    <w:p w:rsidR="00E137D6" w:rsidRDefault="00E137D6" w:rsidP="00E137D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75480"/>
      <w:r>
        <w:t>Fluxo Básico</w:t>
      </w:r>
      <w:bookmarkEnd w:id="14"/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solicita a funcionalidade de manutenção de parâmetros de Férias do Órgão para Unidade </w:t>
      </w:r>
      <w:r>
        <w:lastRenderedPageBreak/>
        <w:t>Organizacional, executa o caso de uso “Listar Parâmetros de Férias no Órgão para Unidade Organizacional”, identifica um registro e seleciona a opção de alteração.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as informações dos parâmetros de férias do órgão para a unidade organizacional identificada pelo ator. 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altera as informações desejadas e submete a operação.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executa as regras de negócios: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</w:t>
      </w:r>
      <w:r>
        <w:noBreakHyphen/>
        <w:t> RN02: Verificar obrigatoriedade campos.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</w:t>
      </w:r>
      <w:r>
        <w:noBreakHyphen/>
        <w:t> RN03: Validação de Vigência conforme operação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</w:t>
      </w:r>
      <w:r>
        <w:noBreakHyphen/>
        <w:t xml:space="preserve"> RN03: Verificar existência Períodos Aquisitivos Férias 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altera os parâmetros de férias no órgão para a unidade organizacional</w:t>
      </w:r>
      <w:proofErr w:type="gramStart"/>
      <w:r>
        <w:t xml:space="preserve">  </w:t>
      </w:r>
      <w:proofErr w:type="gramEnd"/>
      <w:r>
        <w:t>de trabalho.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altera Quantitativo Mensal Máximo de Servidores Permitidos a Usufruir Férias.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E137D6" w:rsidRDefault="00E137D6" w:rsidP="00E137D6">
      <w:pPr>
        <w:pStyle w:val="Ttulo2"/>
      </w:pPr>
      <w:r>
        <w:rPr>
          <w:vanish/>
        </w:rPr>
        <w:t xml:space="preserve">UCSpending1 UCSpending2 UCS396 </w:t>
      </w:r>
      <w:bookmarkStart w:id="15" w:name="_Toc404775481"/>
      <w:r>
        <w:t>Excluir Parâmetros de Férias no Órgão para Unidade Organizacional</w:t>
      </w:r>
      <w:bookmarkEnd w:id="15"/>
    </w:p>
    <w:p w:rsidR="00E137D6" w:rsidRDefault="00E137D6" w:rsidP="00E137D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207020061"/>
      <w:bookmarkStart w:id="17" w:name="_Toc404775482"/>
      <w:r>
        <w:t>Fluxo Básico</w:t>
      </w:r>
      <w:bookmarkEnd w:id="16"/>
      <w:bookmarkEnd w:id="17"/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parâmetros de Férias no Órgão para Unidade Organizacional, executa o caso de uso “Listar Parâmetros de Férias no Órgão para Unidade Organizacional”, identifica um registro e seleciona a opção excluir.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executa as regras de negócios: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</w:t>
      </w:r>
      <w:r>
        <w:noBreakHyphen/>
        <w:t> RN03: Validação de Vigência conforme a operação.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</w:t>
      </w:r>
      <w:r>
        <w:noBreakHyphen/>
        <w:t xml:space="preserve"> RN04: Verificar existência Períodos Aquisitivos Férias 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exclui Quantitativo Mensal Máximo de Servidores Permitidos a Usufruir Férias.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exclui os parâmetros de férias no órgão para a unidade organizacional</w:t>
      </w:r>
      <w:proofErr w:type="gramStart"/>
      <w:r>
        <w:t xml:space="preserve">  </w:t>
      </w:r>
      <w:proofErr w:type="gramEnd"/>
      <w:r>
        <w:t>de trabalho.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identifica que existe uma vigência anterior a excluída, então exclui a data final da vigência identificada.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E137D6" w:rsidRDefault="00E137D6" w:rsidP="00E137D6"/>
    <w:p w:rsidR="00E137D6" w:rsidRDefault="00E137D6" w:rsidP="00E137D6">
      <w:pPr>
        <w:pStyle w:val="Ttulo2"/>
      </w:pPr>
      <w:r>
        <w:rPr>
          <w:vanish/>
        </w:rPr>
        <w:lastRenderedPageBreak/>
        <w:t xml:space="preserve">UCS397 </w:t>
      </w:r>
      <w:bookmarkStart w:id="18" w:name="_Toc404775483"/>
      <w:r>
        <w:t>Listar Parâmetros de Férias da Unidade Organizacional</w:t>
      </w:r>
      <w:bookmarkEnd w:id="18"/>
      <w:r>
        <w:t> </w:t>
      </w:r>
    </w:p>
    <w:p w:rsidR="00E137D6" w:rsidRDefault="00E137D6" w:rsidP="00E137D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775484"/>
      <w:r>
        <w:t>Fluxo Básico</w:t>
      </w:r>
      <w:bookmarkEnd w:id="19"/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parâmetros de férias da unidade organizacional.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E137D6" w:rsidRDefault="00E137D6" w:rsidP="00E137D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uma lista de unidades organizacionais com parâmetros de férias de acordo com os filtros informados, ordenados pela unidade organizacional e cronologicamente inversa pela data de início (os mais recentes primeiro).</w:t>
      </w:r>
    </w:p>
    <w:p w:rsidR="00E137D6" w:rsidRDefault="00E137D6" w:rsidP="00E137D6">
      <w:pPr>
        <w:pStyle w:val="Recuodecorpodetexto"/>
      </w:pPr>
    </w:p>
    <w:p w:rsidR="00E137D6" w:rsidRDefault="00E137D6" w:rsidP="00E137D6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0" w:name="_Toc404775485"/>
      <w:r>
        <w:lastRenderedPageBreak/>
        <w:t>Anexos</w:t>
      </w:r>
      <w:bookmarkEnd w:id="20"/>
    </w:p>
    <w:p w:rsidR="00E137D6" w:rsidRDefault="00E137D6" w:rsidP="00E137D6"/>
    <w:p w:rsidR="00E137D6" w:rsidRDefault="00E137D6" w:rsidP="00E137D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21" w:name="_Toc207020065"/>
      <w:bookmarkStart w:id="22" w:name="_Toc404775486"/>
      <w:r>
        <w:t>Regras de Negócios</w:t>
      </w:r>
      <w:bookmarkEnd w:id="21"/>
      <w:bookmarkEnd w:id="22"/>
    </w:p>
    <w:p w:rsidR="00E137D6" w:rsidRDefault="00E137D6" w:rsidP="00E137D6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207020066"/>
      <w:bookmarkStart w:id="24" w:name="_Toc404775487"/>
      <w:r>
        <w:t>RN01: Verificar duplicidade de parâmetro no Órgão para Unidade Organizacional</w:t>
      </w:r>
      <w:bookmarkEnd w:id="23"/>
      <w:bookmarkEnd w:id="24"/>
    </w:p>
    <w:p w:rsidR="00E137D6" w:rsidRDefault="00E137D6" w:rsidP="00E137D6">
      <w:pPr>
        <w:ind w:left="1620"/>
        <w:rPr>
          <w:rFonts w:cs="Arial"/>
        </w:rPr>
      </w:pPr>
      <w:r>
        <w:rPr>
          <w:rFonts w:cs="Arial"/>
        </w:rPr>
        <w:t xml:space="preserve">Tentativa de incluir quando já existem parâmetros de férias já definidos no órgão para a unidade organizacional informado, o sistema apresenta a mensagem MSG0005: “Já existe registro cadastrado com </w:t>
      </w:r>
      <w:proofErr w:type="gramStart"/>
      <w:r>
        <w:rPr>
          <w:rFonts w:cs="Arial"/>
        </w:rPr>
        <w:t>este(</w:t>
      </w:r>
      <w:proofErr w:type="gramEnd"/>
      <w:r>
        <w:rPr>
          <w:rFonts w:cs="Arial"/>
        </w:rPr>
        <w:t>a) %1.</w:t>
      </w:r>
    </w:p>
    <w:p w:rsidR="00E137D6" w:rsidRDefault="00E137D6" w:rsidP="00E137D6">
      <w:pPr>
        <w:ind w:left="1620"/>
        <w:rPr>
          <w:rFonts w:cs="Arial"/>
        </w:rPr>
      </w:pPr>
    </w:p>
    <w:p w:rsidR="00E137D6" w:rsidRDefault="00E137D6" w:rsidP="00E137D6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404775488"/>
      <w:r>
        <w:t>RN02: Verificar Obrigatoriedade de campos</w:t>
      </w:r>
      <w:bookmarkEnd w:id="25"/>
    </w:p>
    <w:p w:rsidR="00E137D6" w:rsidRDefault="00E137D6" w:rsidP="00E137D6">
      <w:pPr>
        <w:ind w:left="1620"/>
        <w:rPr>
          <w:rFonts w:cs="Arial"/>
        </w:rPr>
      </w:pPr>
      <w:r>
        <w:rPr>
          <w:rFonts w:cs="Arial"/>
        </w:rPr>
        <w:t>Para o campo opção do quadro ‘Quantitativo mensal máximo de servidores permitidos a usufruir férias’,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o sistema verifica se foi informado percentual permitido, então é obrigatório o preenchimento do campo percentual permitido com valo máximo igual a 100.</w:t>
      </w:r>
    </w:p>
    <w:p w:rsidR="00E137D6" w:rsidRDefault="00E137D6" w:rsidP="00E137D6">
      <w:pPr>
        <w:ind w:left="1620"/>
        <w:rPr>
          <w:rFonts w:cs="Arial"/>
        </w:rPr>
      </w:pPr>
      <w:r>
        <w:rPr>
          <w:rFonts w:cs="Arial"/>
        </w:rPr>
        <w:t xml:space="preserve">Caso não tenha informado, exibir a mensagem MSG0936 “É obrigatório informar o campo %1 quando informado %2”; Exemplo: É obrigatório informar o campo </w:t>
      </w:r>
      <w:r>
        <w:rPr>
          <w:rFonts w:cs="Arial"/>
          <w:u w:val="single"/>
        </w:rPr>
        <w:t>percentual</w:t>
      </w:r>
      <w:r>
        <w:rPr>
          <w:rFonts w:cs="Arial"/>
        </w:rPr>
        <w:t xml:space="preserve"> permitido quando </w:t>
      </w:r>
      <w:proofErr w:type="gramStart"/>
      <w:r>
        <w:rPr>
          <w:rFonts w:cs="Arial"/>
        </w:rPr>
        <w:t>informado(</w:t>
      </w:r>
      <w:proofErr w:type="gramEnd"/>
      <w:r>
        <w:rPr>
          <w:rFonts w:cs="Arial"/>
        </w:rPr>
        <w:t xml:space="preserve">a) </w:t>
      </w:r>
      <w:r>
        <w:rPr>
          <w:rFonts w:cs="Arial"/>
          <w:u w:val="single"/>
        </w:rPr>
        <w:t>opção igual percentual permitido</w:t>
      </w:r>
      <w:r>
        <w:rPr>
          <w:rFonts w:cs="Arial"/>
        </w:rPr>
        <w:t>.</w:t>
      </w:r>
    </w:p>
    <w:p w:rsidR="00E137D6" w:rsidRDefault="00E137D6" w:rsidP="00E137D6">
      <w:pPr>
        <w:ind w:left="1620"/>
        <w:rPr>
          <w:rFonts w:cs="Arial"/>
        </w:rPr>
      </w:pPr>
      <w:proofErr w:type="gramStart"/>
      <w:r>
        <w:rPr>
          <w:rFonts w:cs="Arial"/>
        </w:rPr>
        <w:t xml:space="preserve">Caso o valor seja maior que 100, levantar exceção com a mensagem MSG1644: Campo percentual não pode ser preenchido com zero ou valor maior que </w:t>
      </w:r>
      <w:smartTag w:uri="urn:schemas-microsoft-com:office:smarttags" w:element="metricconverter">
        <w:smartTagPr>
          <w:attr w:name="ProductID" w:val="100.”"/>
        </w:smartTagPr>
        <w:r>
          <w:rPr>
            <w:rFonts w:cs="Arial"/>
          </w:rPr>
          <w:t>100.”</w:t>
        </w:r>
      </w:smartTag>
      <w:proofErr w:type="gramEnd"/>
    </w:p>
    <w:p w:rsidR="00E137D6" w:rsidRDefault="00E137D6" w:rsidP="00E137D6">
      <w:pPr>
        <w:ind w:left="1620"/>
        <w:rPr>
          <w:rFonts w:cs="Arial"/>
        </w:rPr>
      </w:pPr>
    </w:p>
    <w:p w:rsidR="00E137D6" w:rsidRDefault="00E137D6" w:rsidP="00E137D6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206846692"/>
      <w:bookmarkStart w:id="27" w:name="_Toc206930796"/>
      <w:bookmarkStart w:id="28" w:name="_Toc207020069"/>
      <w:bookmarkStart w:id="29" w:name="_Toc404775489"/>
      <w:r>
        <w:t>RN03: Validação de Vigência</w:t>
      </w:r>
      <w:bookmarkEnd w:id="26"/>
      <w:bookmarkEnd w:id="27"/>
      <w:bookmarkEnd w:id="28"/>
      <w:r>
        <w:t xml:space="preserve"> conforme a operação</w:t>
      </w:r>
      <w:bookmarkEnd w:id="29"/>
    </w:p>
    <w:p w:rsidR="00E137D6" w:rsidRDefault="00E137D6" w:rsidP="00E137D6">
      <w:pPr>
        <w:ind w:left="1080"/>
        <w:rPr>
          <w:rFonts w:eastAsia="Arial Unicode MS" w:cs="Arial"/>
        </w:rPr>
      </w:pPr>
      <w:r>
        <w:rPr>
          <w:rFonts w:eastAsia="Arial Unicode MS" w:cs="Arial"/>
        </w:rPr>
        <w:t xml:space="preserve">O sistema deve manter as informações desta funcionalidade para </w:t>
      </w:r>
      <w:r>
        <w:rPr>
          <w:rFonts w:eastAsia="Arial Unicode MS" w:cs="Arial"/>
          <w:b/>
          <w:bCs/>
        </w:rPr>
        <w:t>vigência</w:t>
      </w:r>
      <w:r>
        <w:rPr>
          <w:rFonts w:eastAsia="Arial Unicode MS" w:cs="Arial"/>
        </w:rPr>
        <w:t>, conforme as regras e exemplos incluídos nos documentos:</w:t>
      </w:r>
    </w:p>
    <w:p w:rsidR="00E137D6" w:rsidRDefault="00E137D6" w:rsidP="00E137D6">
      <w:pPr>
        <w:numPr>
          <w:ilvl w:val="0"/>
          <w:numId w:val="18"/>
        </w:numPr>
        <w:spacing w:line="240" w:lineRule="auto"/>
        <w:rPr>
          <w:rFonts w:cs="Arial"/>
        </w:rPr>
      </w:pPr>
      <w:r>
        <w:rPr>
          <w:rFonts w:cs="Arial"/>
        </w:rPr>
        <w:t>#9838 - SIGRH - CAD - Gerenciamento de Vigência –Técnico”.</w:t>
      </w:r>
    </w:p>
    <w:p w:rsidR="00E137D6" w:rsidRDefault="00E137D6" w:rsidP="00E137D6">
      <w:pPr>
        <w:numPr>
          <w:ilvl w:val="0"/>
          <w:numId w:val="18"/>
        </w:numPr>
        <w:spacing w:line="240" w:lineRule="auto"/>
        <w:rPr>
          <w:rFonts w:cs="Arial"/>
        </w:rPr>
      </w:pPr>
      <w:r>
        <w:rPr>
          <w:rFonts w:cs="Arial"/>
        </w:rPr>
        <w:t>#11326 - SIGRH - CAD - Vigência - Diagrama de Atividades”.</w:t>
      </w:r>
    </w:p>
    <w:p w:rsidR="00E137D6" w:rsidRDefault="00E137D6" w:rsidP="00E137D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23"/>
        <w:gridCol w:w="1431"/>
        <w:gridCol w:w="5190"/>
      </w:tblGrid>
      <w:tr w:rsidR="00E137D6" w:rsidTr="0097135F">
        <w:tc>
          <w:tcPr>
            <w:tcW w:w="2115" w:type="dxa"/>
            <w:shd w:val="clear" w:color="auto" w:fill="E6E6E6"/>
          </w:tcPr>
          <w:p w:rsidR="00E137D6" w:rsidRDefault="00E137D6" w:rsidP="00EE74F8">
            <w:pPr>
              <w:ind w:left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Operação</w:t>
            </w:r>
          </w:p>
        </w:tc>
        <w:tc>
          <w:tcPr>
            <w:tcW w:w="1439" w:type="dxa"/>
            <w:shd w:val="clear" w:color="auto" w:fill="E6E6E6"/>
          </w:tcPr>
          <w:p w:rsidR="00E137D6" w:rsidRDefault="00E137D6" w:rsidP="00EE74F8">
            <w:pPr>
              <w:ind w:left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Mensagem</w:t>
            </w:r>
          </w:p>
        </w:tc>
        <w:tc>
          <w:tcPr>
            <w:tcW w:w="5657" w:type="dxa"/>
            <w:shd w:val="clear" w:color="auto" w:fill="E6E6E6"/>
          </w:tcPr>
          <w:p w:rsidR="00E137D6" w:rsidRDefault="00E137D6" w:rsidP="00EE74F8">
            <w:pPr>
              <w:ind w:left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</w:tr>
      <w:tr w:rsidR="00E137D6" w:rsidTr="0097135F">
        <w:tc>
          <w:tcPr>
            <w:tcW w:w="2115" w:type="dxa"/>
          </w:tcPr>
          <w:p w:rsidR="00E137D6" w:rsidRDefault="00E137D6" w:rsidP="00EE74F8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Nova vigência*</w:t>
            </w:r>
          </w:p>
        </w:tc>
        <w:tc>
          <w:tcPr>
            <w:tcW w:w="1439" w:type="dxa"/>
          </w:tcPr>
          <w:p w:rsidR="00E137D6" w:rsidRDefault="00E137D6" w:rsidP="00EE74F8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MSG0831</w:t>
            </w:r>
          </w:p>
        </w:tc>
        <w:tc>
          <w:tcPr>
            <w:tcW w:w="5657" w:type="dxa"/>
          </w:tcPr>
          <w:p w:rsidR="00E137D6" w:rsidRDefault="00E137D6" w:rsidP="00EE74F8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"A data inicial da vigência deve ser maior que a </w:t>
            </w:r>
            <w:r>
              <w:rPr>
                <w:rFonts w:cs="Arial"/>
              </w:rPr>
              <w:lastRenderedPageBreak/>
              <w:t>data inicial da vigência anterior ativa."</w:t>
            </w:r>
          </w:p>
        </w:tc>
      </w:tr>
      <w:tr w:rsidR="00E137D6" w:rsidRPr="00EE74F8" w:rsidTr="0097135F">
        <w:trPr>
          <w:cantSplit/>
        </w:trPr>
        <w:tc>
          <w:tcPr>
            <w:tcW w:w="2115" w:type="dxa"/>
            <w:vMerge w:val="restart"/>
          </w:tcPr>
          <w:p w:rsidR="00E137D6" w:rsidRDefault="00E137D6" w:rsidP="00EE74F8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lastRenderedPageBreak/>
              <w:t>Retificação*</w:t>
            </w:r>
          </w:p>
        </w:tc>
        <w:tc>
          <w:tcPr>
            <w:tcW w:w="1439" w:type="dxa"/>
          </w:tcPr>
          <w:p w:rsidR="00E137D6" w:rsidRDefault="00E137D6" w:rsidP="00EE74F8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MSG618</w:t>
            </w:r>
          </w:p>
        </w:tc>
        <w:tc>
          <w:tcPr>
            <w:tcW w:w="5657" w:type="dxa"/>
          </w:tcPr>
          <w:p w:rsidR="00E137D6" w:rsidRDefault="00E137D6" w:rsidP="00EE74F8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"Não é </w:t>
            </w:r>
            <w:proofErr w:type="spellStart"/>
            <w:r>
              <w:rPr>
                <w:rFonts w:cs="Arial"/>
              </w:rPr>
              <w:t>possivel</w:t>
            </w:r>
            <w:proofErr w:type="spellEnd"/>
            <w:r>
              <w:rPr>
                <w:rFonts w:cs="Arial"/>
              </w:rPr>
              <w:t xml:space="preserve"> &lt;</w:t>
            </w:r>
            <w:proofErr w:type="spellStart"/>
            <w:r>
              <w:rPr>
                <w:rFonts w:cs="Arial"/>
              </w:rPr>
              <w:t>nome_operacao</w:t>
            </w:r>
            <w:proofErr w:type="spellEnd"/>
            <w:r>
              <w:rPr>
                <w:rFonts w:cs="Arial"/>
              </w:rPr>
              <w:t>&gt; uma vigência que não seja a última vigência ativa."</w:t>
            </w:r>
          </w:p>
          <w:p w:rsidR="00E137D6" w:rsidRDefault="00E137D6" w:rsidP="00EE74F8">
            <w:pPr>
              <w:ind w:left="0"/>
              <w:rPr>
                <w:rFonts w:cs="Arial"/>
              </w:rPr>
            </w:pPr>
          </w:p>
        </w:tc>
      </w:tr>
      <w:tr w:rsidR="00E137D6" w:rsidRPr="00EE74F8" w:rsidTr="0097135F">
        <w:trPr>
          <w:cantSplit/>
          <w:trHeight w:val="648"/>
        </w:trPr>
        <w:tc>
          <w:tcPr>
            <w:tcW w:w="2115" w:type="dxa"/>
            <w:vMerge/>
          </w:tcPr>
          <w:p w:rsidR="00E137D6" w:rsidRDefault="00E137D6" w:rsidP="00EE74F8">
            <w:pPr>
              <w:ind w:left="0"/>
              <w:rPr>
                <w:rFonts w:cs="Arial"/>
              </w:rPr>
            </w:pPr>
          </w:p>
        </w:tc>
        <w:tc>
          <w:tcPr>
            <w:tcW w:w="1439" w:type="dxa"/>
          </w:tcPr>
          <w:p w:rsidR="00E137D6" w:rsidRDefault="00E137D6" w:rsidP="00EE74F8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MSG0831</w:t>
            </w:r>
          </w:p>
        </w:tc>
        <w:tc>
          <w:tcPr>
            <w:tcW w:w="5657" w:type="dxa"/>
          </w:tcPr>
          <w:p w:rsidR="00E137D6" w:rsidRDefault="00E137D6" w:rsidP="00EE74F8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"A data inicial da vigência deve ser maior que a data inicial da vigência anterior ativa."</w:t>
            </w:r>
          </w:p>
        </w:tc>
      </w:tr>
      <w:tr w:rsidR="00E137D6" w:rsidRPr="00EE74F8" w:rsidTr="0097135F">
        <w:tc>
          <w:tcPr>
            <w:tcW w:w="2115" w:type="dxa"/>
          </w:tcPr>
          <w:p w:rsidR="00E137D6" w:rsidRDefault="00E137D6" w:rsidP="00EE74F8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Excluir vigência</w:t>
            </w:r>
          </w:p>
        </w:tc>
        <w:tc>
          <w:tcPr>
            <w:tcW w:w="1439" w:type="dxa"/>
          </w:tcPr>
          <w:p w:rsidR="00E137D6" w:rsidRDefault="00E137D6" w:rsidP="00EE74F8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MSG0597</w:t>
            </w:r>
          </w:p>
        </w:tc>
        <w:tc>
          <w:tcPr>
            <w:tcW w:w="5657" w:type="dxa"/>
          </w:tcPr>
          <w:p w:rsidR="00E137D6" w:rsidRDefault="00E137D6" w:rsidP="00EE74F8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"É permitido excluir apenas o &lt;nome do conceito&gt; da última vigência ativa."</w:t>
            </w:r>
          </w:p>
        </w:tc>
      </w:tr>
    </w:tbl>
    <w:p w:rsidR="00E137D6" w:rsidRDefault="00E137D6" w:rsidP="00E137D6">
      <w:pPr>
        <w:widowControl w:val="0"/>
        <w:ind w:left="540"/>
        <w:rPr>
          <w:rFonts w:cs="Arial"/>
        </w:rPr>
      </w:pPr>
    </w:p>
    <w:p w:rsidR="00E137D6" w:rsidRDefault="00E137D6" w:rsidP="00E137D6">
      <w:pPr>
        <w:ind w:left="1620"/>
        <w:rPr>
          <w:rFonts w:cs="Arial"/>
        </w:rPr>
      </w:pPr>
      <w:r>
        <w:rPr>
          <w:rFonts w:cs="Arial"/>
        </w:rPr>
        <w:t>Referência: #9306: SINDRAPE Sistemática de vigências.</w:t>
      </w:r>
    </w:p>
    <w:p w:rsidR="00E137D6" w:rsidRDefault="00E137D6" w:rsidP="00E137D6">
      <w:pPr>
        <w:pStyle w:val="Ttulo3"/>
        <w:keepNext w:val="0"/>
        <w:widowControl w:val="0"/>
        <w:spacing w:before="120" w:line="240" w:lineRule="auto"/>
        <w:ind w:left="1620" w:hanging="900"/>
      </w:pPr>
      <w:bookmarkStart w:id="30" w:name="_Toc206846689"/>
      <w:bookmarkStart w:id="31" w:name="_Toc206930795"/>
      <w:bookmarkStart w:id="32" w:name="_Toc207020068"/>
      <w:bookmarkStart w:id="33" w:name="_Toc404775490"/>
      <w:r>
        <w:t>RN04: Verificar existência Períodos Aquisitivos Férias</w:t>
      </w:r>
      <w:bookmarkEnd w:id="30"/>
      <w:bookmarkEnd w:id="31"/>
      <w:bookmarkEnd w:id="32"/>
      <w:bookmarkEnd w:id="33"/>
      <w:r>
        <w:t xml:space="preserve"> </w:t>
      </w:r>
    </w:p>
    <w:p w:rsidR="00E137D6" w:rsidRDefault="00E137D6" w:rsidP="00E137D6">
      <w:pPr>
        <w:ind w:left="1620"/>
        <w:rPr>
          <w:rFonts w:cs="Arial"/>
        </w:rPr>
      </w:pPr>
      <w:r>
        <w:rPr>
          <w:rFonts w:cs="Arial"/>
        </w:rPr>
        <w:t xml:space="preserve">Tentativa de excluir ou alterar uma vigência no qual existem Períodos Aquisitivos de Férias para servidores com relações de vínculos de (cargos efetivos, bolsistas ou cargos comissionados) com a unidade organizacional igual ao da vigência, incluídos na data ou após a data inicial de vigência, o sistema exibe a mensagem: MSG1592: “Existe(m) %1 associado(a)(s) ao(à) %2 que iniciam após a %3 informada.”; </w:t>
      </w:r>
    </w:p>
    <w:p w:rsidR="00E137D6" w:rsidRDefault="00E137D6" w:rsidP="00E137D6">
      <w:pPr>
        <w:ind w:left="1620"/>
        <w:rPr>
          <w:rFonts w:cs="Arial"/>
        </w:rPr>
      </w:pPr>
      <w:r>
        <w:rPr>
          <w:rFonts w:cs="Arial"/>
        </w:rPr>
        <w:t xml:space="preserve">Exemplo: Existe(m) </w:t>
      </w:r>
      <w:r>
        <w:rPr>
          <w:rFonts w:cs="Arial"/>
          <w:b/>
          <w:bCs/>
          <w:u w:val="single"/>
        </w:rPr>
        <w:t>períodos aquisitivos de férias</w:t>
      </w:r>
      <w:r>
        <w:rPr>
          <w:rFonts w:cs="Arial"/>
        </w:rPr>
        <w:t xml:space="preserve"> associado(a)(s) ao(à) </w:t>
      </w:r>
      <w:r>
        <w:rPr>
          <w:rFonts w:cs="Arial"/>
          <w:b/>
          <w:bCs/>
          <w:u w:val="single"/>
        </w:rPr>
        <w:t>parâmetro de férias do órgão</w:t>
      </w:r>
      <w:r>
        <w:rPr>
          <w:rFonts w:cs="Arial"/>
        </w:rPr>
        <w:t xml:space="preserve"> que iniciam após a data </w:t>
      </w:r>
      <w:r>
        <w:rPr>
          <w:rFonts w:cs="Arial"/>
          <w:b/>
          <w:bCs/>
          <w:u w:val="single"/>
        </w:rPr>
        <w:t>inicial de vigência</w:t>
      </w:r>
      <w:r>
        <w:rPr>
          <w:rFonts w:cs="Arial"/>
        </w:rPr>
        <w:t xml:space="preserve"> informada.</w:t>
      </w:r>
    </w:p>
    <w:p w:rsidR="00E137D6" w:rsidRDefault="00E137D6" w:rsidP="00E137D6">
      <w:pPr>
        <w:ind w:left="1620"/>
        <w:rPr>
          <w:rFonts w:cs="Arial"/>
        </w:rPr>
      </w:pPr>
    </w:p>
    <w:p w:rsidR="00E137D6" w:rsidRDefault="00E137D6" w:rsidP="00E137D6">
      <w:pPr>
        <w:ind w:left="1620"/>
        <w:rPr>
          <w:rFonts w:cs="Arial"/>
        </w:rPr>
      </w:pPr>
    </w:p>
    <w:p w:rsidR="00E137D6" w:rsidRDefault="00E137D6" w:rsidP="00E137D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  <w:rPr>
          <w:rFonts w:eastAsia="Arial Unicode MS"/>
        </w:rPr>
      </w:pPr>
      <w:bookmarkStart w:id="34" w:name="_Toc195439710"/>
      <w:bookmarkStart w:id="35" w:name="_Toc404775491"/>
      <w:r>
        <w:t>Órgãos: parâmetros de férias para unidade organizacional</w:t>
      </w:r>
      <w:bookmarkEnd w:id="34"/>
      <w:bookmarkEnd w:id="35"/>
    </w:p>
    <w:p w:rsidR="00E137D6" w:rsidRDefault="00E137D6" w:rsidP="00E137D6">
      <w:pPr>
        <w:pStyle w:val="Recuodecorpodetexto2"/>
        <w:widowControl w:val="0"/>
        <w:ind w:left="540"/>
        <w:rPr>
          <w:sz w:val="24"/>
        </w:rPr>
      </w:pPr>
    </w:p>
    <w:p w:rsidR="00E137D6" w:rsidRDefault="00E137D6" w:rsidP="00E137D6">
      <w:pPr>
        <w:pStyle w:val="Recuodecorpodetexto2"/>
        <w:widowControl w:val="0"/>
        <w:ind w:left="540"/>
        <w:rPr>
          <w:sz w:val="24"/>
        </w:rPr>
      </w:pPr>
      <w:r>
        <w:rPr>
          <w:sz w:val="24"/>
        </w:rPr>
        <w:t>Parâmetros de férias no órgão para unidades organizacionais.</w:t>
      </w:r>
    </w:p>
    <w:p w:rsidR="00E137D6" w:rsidRDefault="00E137D6" w:rsidP="00E137D6">
      <w:pPr>
        <w:pStyle w:val="Recuodecorpodetexto2"/>
        <w:widowControl w:val="0"/>
        <w:ind w:left="540" w:firstLine="0"/>
        <w:rPr>
          <w:sz w:val="24"/>
        </w:rPr>
      </w:pPr>
    </w:p>
    <w:tbl>
      <w:tblPr>
        <w:tblW w:w="0" w:type="auto"/>
        <w:tblInd w:w="250" w:type="dxa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0"/>
        <w:gridCol w:w="3060"/>
        <w:gridCol w:w="1080"/>
        <w:gridCol w:w="540"/>
        <w:gridCol w:w="540"/>
        <w:gridCol w:w="720"/>
      </w:tblGrid>
      <w:tr w:rsidR="00E137D6" w:rsidTr="0097135F">
        <w:trPr>
          <w:tblHeader/>
        </w:trPr>
        <w:tc>
          <w:tcPr>
            <w:tcW w:w="95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80"/>
                <w:sz w:val="24"/>
              </w:rPr>
            </w:pPr>
            <w:r>
              <w:rPr>
                <w:rStyle w:val="SoDAField"/>
                <w:b/>
                <w:bCs/>
                <w:color w:val="000080"/>
                <w:sz w:val="24"/>
              </w:rPr>
              <w:t>Atributos</w:t>
            </w:r>
          </w:p>
        </w:tc>
      </w:tr>
      <w:tr w:rsidR="00E137D6" w:rsidTr="0097135F">
        <w:trPr>
          <w:tblHeader/>
        </w:trPr>
        <w:tc>
          <w:tcPr>
            <w:tcW w:w="6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80"/>
                <w:sz w:val="24"/>
              </w:rPr>
            </w:pPr>
            <w:r>
              <w:rPr>
                <w:rStyle w:val="SoDAField"/>
                <w:b/>
                <w:bCs/>
                <w:color w:val="000080"/>
                <w:sz w:val="24"/>
              </w:rPr>
              <w:t>Nome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80"/>
                <w:sz w:val="24"/>
              </w:rPr>
            </w:pPr>
            <w:proofErr w:type="spellStart"/>
            <w:r>
              <w:rPr>
                <w:rStyle w:val="SoDAField"/>
                <w:b/>
                <w:bCs/>
                <w:color w:val="000080"/>
                <w:sz w:val="24"/>
              </w:rPr>
              <w:t>Pd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80"/>
                <w:sz w:val="24"/>
                <w:lang w:val="en-US"/>
              </w:rPr>
            </w:pPr>
            <w:proofErr w:type="spellStart"/>
            <w:r>
              <w:rPr>
                <w:rStyle w:val="SoDAField"/>
                <w:b/>
                <w:bCs/>
                <w:color w:val="000080"/>
                <w:sz w:val="24"/>
                <w:lang w:val="en-US"/>
              </w:rPr>
              <w:t>Tp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80"/>
                <w:sz w:val="24"/>
                <w:lang w:val="en-US"/>
              </w:rPr>
            </w:pPr>
            <w:r>
              <w:rPr>
                <w:b/>
                <w:bCs/>
                <w:color w:val="000080"/>
                <w:sz w:val="24"/>
                <w:lang w:val="en-US"/>
              </w:rPr>
              <w:t>Tm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80"/>
                <w:sz w:val="24"/>
                <w:lang w:val="en-US"/>
              </w:rPr>
            </w:pPr>
            <w:r>
              <w:rPr>
                <w:b/>
                <w:bCs/>
                <w:color w:val="000080"/>
                <w:sz w:val="24"/>
                <w:lang w:val="en-US"/>
              </w:rPr>
              <w:t>Op</w:t>
            </w:r>
          </w:p>
        </w:tc>
      </w:tr>
      <w:tr w:rsidR="00E137D6" w:rsidTr="009713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</w:rPr>
            </w:pPr>
            <w:r>
              <w:rPr>
                <w:rStyle w:val="SoDAField"/>
                <w:b/>
                <w:bCs/>
              </w:rPr>
              <w:t>Identificador do órgão: parâmetros de férias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Autom</w:t>
            </w:r>
            <w:proofErr w:type="spellEnd"/>
          </w:p>
        </w:tc>
      </w:tr>
      <w:tr w:rsidR="00E137D6" w:rsidTr="009713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8000"/>
              </w:rPr>
            </w:pPr>
            <w:r>
              <w:rPr>
                <w:rStyle w:val="SoDAField"/>
                <w:b/>
                <w:bCs/>
                <w:color w:val="008000"/>
              </w:rPr>
              <w:t>Identificação do órgão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Tabela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E137D6" w:rsidTr="009713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8000"/>
              </w:rPr>
            </w:pPr>
            <w:r>
              <w:rPr>
                <w:rStyle w:val="SoDAField"/>
                <w:b/>
                <w:bCs/>
                <w:color w:val="008000"/>
              </w:rPr>
              <w:t xml:space="preserve">Identificação da unidade </w:t>
            </w:r>
            <w:r>
              <w:rPr>
                <w:rStyle w:val="SoDAField"/>
                <w:b/>
                <w:bCs/>
                <w:color w:val="008000"/>
              </w:rPr>
              <w:lastRenderedPageBreak/>
              <w:t>organizacional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Tabela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E137D6" w:rsidTr="009713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8000"/>
              </w:rPr>
            </w:pPr>
            <w:r>
              <w:rPr>
                <w:rStyle w:val="SoDAField"/>
                <w:b/>
                <w:bCs/>
                <w:color w:val="008000"/>
              </w:rPr>
              <w:lastRenderedPageBreak/>
              <w:t>Data inicial de vigência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E137D6" w:rsidTr="009713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333333"/>
              </w:rPr>
            </w:pPr>
            <w:r>
              <w:rPr>
                <w:rStyle w:val="SoDAField"/>
                <w:color w:val="333333"/>
              </w:rPr>
              <w:t>Data final de vigência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E137D6" w:rsidTr="009713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Indicativo se inclui ou não suas subordinadas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(S/N)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E137D6" w:rsidTr="009713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Quantitativo máximo de servidores permitidos para usufruto de férias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E137D6" w:rsidTr="0097135F">
        <w:trPr>
          <w:trHeight w:val="255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Mês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Meses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E137D6" w:rsidTr="0097135F">
        <w:trPr>
          <w:trHeight w:val="255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Opção para o mês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Domínio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E137D6" w:rsidTr="0097135F">
        <w:trPr>
          <w:trHeight w:val="255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Percentual permitido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Dep.</w:t>
            </w:r>
          </w:p>
        </w:tc>
      </w:tr>
      <w:tr w:rsidR="00E137D6" w:rsidTr="0097135F">
        <w:trPr>
          <w:trHeight w:val="255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Dia inicio da fruição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:rsidR="00E137D6" w:rsidRDefault="00E137D6" w:rsidP="00E137D6">
      <w:pPr>
        <w:pStyle w:val="Recuodecorpodetexto2"/>
        <w:widowControl w:val="0"/>
        <w:ind w:left="180" w:right="-649" w:firstLine="0"/>
        <w:rPr>
          <w:sz w:val="16"/>
        </w:rPr>
      </w:pPr>
      <w:proofErr w:type="spellStart"/>
      <w:r>
        <w:rPr>
          <w:sz w:val="16"/>
        </w:rPr>
        <w:t>Op</w:t>
      </w:r>
      <w:proofErr w:type="spellEnd"/>
      <w:r>
        <w:rPr>
          <w:sz w:val="16"/>
        </w:rPr>
        <w:t xml:space="preserve">=Opção </w:t>
      </w:r>
      <w:proofErr w:type="spellStart"/>
      <w:r>
        <w:rPr>
          <w:sz w:val="16"/>
        </w:rPr>
        <w:t>Pd</w:t>
      </w:r>
      <w:proofErr w:type="spellEnd"/>
      <w:r>
        <w:rPr>
          <w:sz w:val="16"/>
        </w:rPr>
        <w:t xml:space="preserve">=Padrão </w:t>
      </w:r>
      <w:proofErr w:type="spellStart"/>
      <w:r>
        <w:rPr>
          <w:sz w:val="16"/>
        </w:rPr>
        <w:t>Tp</w:t>
      </w:r>
      <w:proofErr w:type="spellEnd"/>
      <w:r>
        <w:rPr>
          <w:sz w:val="16"/>
        </w:rPr>
        <w:t xml:space="preserve">=Tipo </w:t>
      </w:r>
      <w:proofErr w:type="spellStart"/>
      <w:r>
        <w:rPr>
          <w:sz w:val="16"/>
        </w:rPr>
        <w:t>Tm</w:t>
      </w:r>
      <w:proofErr w:type="spellEnd"/>
      <w:r>
        <w:rPr>
          <w:sz w:val="16"/>
        </w:rPr>
        <w:t xml:space="preserve">=Tamanho     </w:t>
      </w:r>
      <w:proofErr w:type="spellStart"/>
      <w:r>
        <w:rPr>
          <w:sz w:val="16"/>
        </w:rPr>
        <w:t>A-Alfanumérico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N-Numérico</w:t>
      </w:r>
      <w:proofErr w:type="spellEnd"/>
      <w:r>
        <w:rPr>
          <w:sz w:val="16"/>
        </w:rPr>
        <w:t xml:space="preserve">      </w:t>
      </w:r>
      <w:proofErr w:type="spellStart"/>
      <w:r>
        <w:rPr>
          <w:sz w:val="16"/>
        </w:rPr>
        <w:t>Opc</w:t>
      </w:r>
      <w:proofErr w:type="spellEnd"/>
      <w:r>
        <w:rPr>
          <w:sz w:val="16"/>
        </w:rPr>
        <w:t xml:space="preserve">=Opcional </w:t>
      </w:r>
      <w:proofErr w:type="spellStart"/>
      <w:r>
        <w:rPr>
          <w:sz w:val="16"/>
        </w:rPr>
        <w:t>Obrig</w:t>
      </w:r>
      <w:proofErr w:type="spellEnd"/>
      <w:r>
        <w:rPr>
          <w:sz w:val="16"/>
        </w:rPr>
        <w:t xml:space="preserve">=Obrigatório </w:t>
      </w:r>
      <w:proofErr w:type="spellStart"/>
      <w:r>
        <w:rPr>
          <w:sz w:val="16"/>
        </w:rPr>
        <w:t>Autom</w:t>
      </w:r>
      <w:proofErr w:type="spellEnd"/>
      <w:r>
        <w:rPr>
          <w:sz w:val="16"/>
        </w:rPr>
        <w:t>=Automático</w:t>
      </w:r>
    </w:p>
    <w:p w:rsidR="00E137D6" w:rsidRDefault="00E137D6" w:rsidP="00E137D6">
      <w:pPr>
        <w:ind w:left="1620"/>
        <w:rPr>
          <w:rFonts w:cs="Arial"/>
        </w:rPr>
      </w:pPr>
    </w:p>
    <w:p w:rsidR="00E137D6" w:rsidRDefault="00E137D6" w:rsidP="00E137D6">
      <w:pPr>
        <w:pStyle w:val="Cabealho"/>
      </w:pPr>
    </w:p>
    <w:p w:rsidR="00E137D6" w:rsidRDefault="00E137D6" w:rsidP="00E137D6">
      <w:pPr>
        <w:widowControl w:val="0"/>
        <w:ind w:left="540"/>
        <w:rPr>
          <w:rFonts w:cs="Arial"/>
        </w:rPr>
      </w:pPr>
    </w:p>
    <w:p w:rsidR="00E137D6" w:rsidRDefault="00E137D6" w:rsidP="00E137D6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36" w:name="_Toc404775492"/>
      <w:r>
        <w:lastRenderedPageBreak/>
        <w:t>Revisões</w:t>
      </w:r>
      <w:bookmarkEnd w:id="36"/>
    </w:p>
    <w:p w:rsidR="00E137D6" w:rsidRDefault="00E137D6" w:rsidP="00E137D6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E137D6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137D6" w:rsidRPr="00E137D6" w:rsidRDefault="00E137D6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137D6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137D6" w:rsidRPr="00E137D6" w:rsidRDefault="00E137D6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137D6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137D6" w:rsidRPr="00E137D6" w:rsidRDefault="00E137D6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137D6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137D6" w:rsidRPr="00E137D6" w:rsidRDefault="00E137D6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E137D6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137D6" w:rsidRPr="00E137D6" w:rsidRDefault="00E137D6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137D6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E137D6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EE74F8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137D6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Pr="00EE74F8" w:rsidRDefault="00E137D6" w:rsidP="00EE74F8">
            <w:pPr>
              <w:widowControl w:val="0"/>
              <w:ind w:left="0"/>
              <w:rPr>
                <w:rFonts w:cs="Arial"/>
                <w:sz w:val="16"/>
              </w:rPr>
            </w:pPr>
            <w:r w:rsidRPr="00EE74F8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137D6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Pr="00EE74F8" w:rsidRDefault="00E137D6" w:rsidP="00EE74F8">
            <w:pPr>
              <w:widowControl w:val="0"/>
              <w:ind w:left="0"/>
              <w:rPr>
                <w:rFonts w:cs="Arial"/>
                <w:sz w:val="16"/>
              </w:rPr>
            </w:pPr>
            <w:r w:rsidRPr="00EE74F8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137D6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Pr="00EE74F8" w:rsidRDefault="00E137D6" w:rsidP="00EE74F8">
            <w:pPr>
              <w:widowControl w:val="0"/>
              <w:ind w:left="0"/>
              <w:rPr>
                <w:rFonts w:cs="Arial"/>
                <w:sz w:val="16"/>
              </w:rPr>
            </w:pPr>
            <w:r w:rsidRPr="00EE74F8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137D6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Pr="00EE74F8" w:rsidRDefault="00E137D6" w:rsidP="00EE74F8">
            <w:pPr>
              <w:widowControl w:val="0"/>
              <w:ind w:left="0"/>
              <w:rPr>
                <w:rFonts w:cs="Arial"/>
                <w:sz w:val="16"/>
              </w:rPr>
            </w:pPr>
            <w:r w:rsidRPr="00EE74F8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137D6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Pr="00EE74F8" w:rsidRDefault="00E137D6" w:rsidP="00EE74F8">
            <w:pPr>
              <w:widowControl w:val="0"/>
              <w:ind w:left="0"/>
              <w:rPr>
                <w:rFonts w:cs="Arial"/>
                <w:sz w:val="16"/>
              </w:rPr>
            </w:pPr>
            <w:r w:rsidRPr="00EE74F8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137D6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Pr="00EE74F8" w:rsidRDefault="00E137D6" w:rsidP="00EE74F8">
            <w:pPr>
              <w:widowControl w:val="0"/>
              <w:ind w:left="0"/>
              <w:rPr>
                <w:rFonts w:cs="Arial"/>
                <w:sz w:val="16"/>
              </w:rPr>
            </w:pPr>
            <w:r w:rsidRPr="00EE74F8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137D6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Pr="00EE74F8" w:rsidRDefault="00E137D6" w:rsidP="00EE74F8">
            <w:pPr>
              <w:widowControl w:val="0"/>
              <w:ind w:left="0"/>
              <w:rPr>
                <w:rFonts w:cs="Arial"/>
                <w:sz w:val="16"/>
              </w:rPr>
            </w:pPr>
            <w:r w:rsidRPr="00EE74F8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137D6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Pr="00EE74F8" w:rsidRDefault="00E137D6" w:rsidP="00EE74F8">
            <w:pPr>
              <w:widowControl w:val="0"/>
              <w:ind w:left="0"/>
              <w:rPr>
                <w:rFonts w:cs="Arial"/>
                <w:sz w:val="16"/>
              </w:rPr>
            </w:pPr>
            <w:r w:rsidRPr="00EE74F8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137D6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Pr="00EE74F8" w:rsidRDefault="00E137D6" w:rsidP="00EE74F8">
            <w:pPr>
              <w:widowControl w:val="0"/>
              <w:ind w:left="0"/>
              <w:rPr>
                <w:rFonts w:cs="Arial"/>
                <w:sz w:val="16"/>
              </w:rPr>
            </w:pPr>
            <w:r w:rsidRPr="00EE74F8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137D6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Pr="00EE74F8" w:rsidRDefault="00E137D6" w:rsidP="00EE74F8">
            <w:pPr>
              <w:widowControl w:val="0"/>
              <w:ind w:left="0"/>
              <w:rPr>
                <w:rFonts w:cs="Arial"/>
                <w:sz w:val="16"/>
              </w:rPr>
            </w:pPr>
            <w:r w:rsidRPr="00EE74F8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137D6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137D6" w:rsidRDefault="00E137D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Pr="00EE74F8" w:rsidRDefault="00E137D6" w:rsidP="00EE74F8">
            <w:pPr>
              <w:widowControl w:val="0"/>
              <w:ind w:left="0"/>
              <w:rPr>
                <w:rFonts w:cs="Arial"/>
                <w:sz w:val="16"/>
              </w:rPr>
            </w:pPr>
            <w:r w:rsidRPr="00EE74F8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137D6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Pr="00EE74F8" w:rsidRDefault="00E137D6" w:rsidP="00EE74F8">
            <w:pPr>
              <w:widowControl w:val="0"/>
              <w:ind w:left="0"/>
              <w:rPr>
                <w:rFonts w:cs="Arial"/>
                <w:sz w:val="16"/>
              </w:rPr>
            </w:pPr>
            <w:r w:rsidRPr="00EE74F8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137D6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Pr="00EE74F8" w:rsidRDefault="00E137D6" w:rsidP="00EE74F8">
            <w:pPr>
              <w:widowControl w:val="0"/>
              <w:ind w:left="0"/>
              <w:rPr>
                <w:rFonts w:cs="Arial"/>
                <w:sz w:val="16"/>
              </w:rPr>
            </w:pPr>
            <w:r w:rsidRPr="00EE74F8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137D6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137D6" w:rsidRDefault="00E137D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137D6" w:rsidRDefault="00E137D6" w:rsidP="00EE74F8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137D6" w:rsidRDefault="00E137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E137D6" w:rsidRDefault="00E137D6" w:rsidP="00E137D6">
      <w:pPr>
        <w:pStyle w:val="Recuodecorpodetexto"/>
      </w:pPr>
    </w:p>
    <w:p w:rsidR="00E137D6" w:rsidRDefault="00E137D6" w:rsidP="00E137D6"/>
    <w:p w:rsidR="00F41655" w:rsidRPr="00E137D6" w:rsidRDefault="00F41655" w:rsidP="00E137D6"/>
    <w:sectPr w:rsidR="00F41655" w:rsidRPr="00E137D6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37D6" w:rsidRDefault="00E137D6" w:rsidP="002908D9">
      <w:r>
        <w:separator/>
      </w:r>
    </w:p>
  </w:endnote>
  <w:endnote w:type="continuationSeparator" w:id="0">
    <w:p w:rsidR="00E137D6" w:rsidRDefault="00E137D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E74F8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E137D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E74F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EE74F8">
            <w:rPr>
              <w:sz w:val="20"/>
              <w:szCs w:val="20"/>
            </w:rPr>
            <w:t xml:space="preserve">Keila </w:t>
          </w:r>
          <w:proofErr w:type="spellStart"/>
          <w:r w:rsidRPr="00EE74F8">
            <w:rPr>
              <w:sz w:val="20"/>
              <w:szCs w:val="20"/>
            </w:rPr>
            <w:t>Joanês</w:t>
          </w:r>
          <w:proofErr w:type="spellEnd"/>
          <w:r w:rsidRPr="00EE74F8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E74F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E137D6">
            <w:rPr>
              <w:b/>
              <w:sz w:val="20"/>
              <w:szCs w:val="20"/>
            </w:rPr>
            <w:t>Movimentações</w:t>
          </w:r>
          <w:r w:rsidR="00010C94">
            <w:rPr>
              <w:b/>
              <w:sz w:val="20"/>
              <w:szCs w:val="20"/>
            </w:rPr>
            <w:t xml:space="preserve"> -</w:t>
          </w:r>
          <w:r w:rsidR="00E137D6">
            <w:rPr>
              <w:b/>
              <w:sz w:val="20"/>
              <w:szCs w:val="20"/>
            </w:rPr>
            <w:t xml:space="preserve"> Férias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137D6">
            <w:rPr>
              <w:b/>
              <w:sz w:val="20"/>
              <w:szCs w:val="20"/>
            </w:rPr>
            <w:t>UCS0433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E74F8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E74F8">
            <w:rPr>
              <w:b/>
              <w:sz w:val="20"/>
              <w:szCs w:val="20"/>
            </w:rPr>
            <w:t>Manter Parâmetros de Férias para Unidades Organizacionais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CEC9B45" wp14:editId="1C0DB33C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37D6" w:rsidRDefault="00E137D6" w:rsidP="002908D9">
      <w:r>
        <w:separator/>
      </w:r>
    </w:p>
  </w:footnote>
  <w:footnote w:type="continuationSeparator" w:id="0">
    <w:p w:rsidR="00E137D6" w:rsidRDefault="00E137D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1EB33C6" wp14:editId="372DE3C9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68859FB" wp14:editId="67F0D95C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1DCF7CE9" wp14:editId="3BF7ABFE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278E15B4" wp14:editId="10E3597C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6F350FB"/>
    <w:multiLevelType w:val="hybridMultilevel"/>
    <w:tmpl w:val="6BDEA790"/>
    <w:lvl w:ilvl="0" w:tplc="119CD268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9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7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7D6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DF2093"/>
    <w:rsid w:val="00E137D6"/>
    <w:rsid w:val="00E81253"/>
    <w:rsid w:val="00EE74F8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137D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137D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137D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137D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137D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137D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137D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137D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137D6"/>
    <w:pPr>
      <w:ind w:left="0"/>
    </w:pPr>
  </w:style>
  <w:style w:type="paragraph" w:styleId="ndicedeilustraes">
    <w:name w:val="table of figures"/>
    <w:basedOn w:val="Normal"/>
    <w:next w:val="Normal"/>
    <w:semiHidden/>
    <w:rsid w:val="00E137D6"/>
  </w:style>
  <w:style w:type="paragraph" w:styleId="Sumrio2">
    <w:name w:val="toc 2"/>
    <w:basedOn w:val="Normal"/>
    <w:next w:val="Normal"/>
    <w:autoRedefine/>
    <w:uiPriority w:val="39"/>
    <w:rsid w:val="00E137D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137D6"/>
    <w:pPr>
      <w:ind w:left="480"/>
    </w:pPr>
  </w:style>
  <w:style w:type="character" w:styleId="Hyperlink">
    <w:name w:val="Hyperlink"/>
    <w:basedOn w:val="Fontepargpadro"/>
    <w:uiPriority w:val="99"/>
    <w:rsid w:val="00E137D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137D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137D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137D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137D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137D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137D6"/>
    <w:rPr>
      <w:sz w:val="16"/>
    </w:rPr>
  </w:style>
  <w:style w:type="character" w:styleId="Nmerodepgina">
    <w:name w:val="page number"/>
    <w:basedOn w:val="Fontepargpadro"/>
    <w:rsid w:val="00E137D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137D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137D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137D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137D6"/>
  </w:style>
  <w:style w:type="paragraph" w:styleId="Corpodetexto">
    <w:name w:val="Body Text"/>
    <w:basedOn w:val="Normal"/>
    <w:link w:val="CorpodetextoChar"/>
    <w:rsid w:val="00E137D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137D6"/>
    <w:rPr>
      <w:rFonts w:eastAsia="Arial Unicode MS"/>
    </w:rPr>
  </w:style>
  <w:style w:type="paragraph" w:customStyle="1" w:styleId="tabletext">
    <w:name w:val="tabletext"/>
    <w:basedOn w:val="Normal"/>
    <w:rsid w:val="00E137D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137D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137D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137D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137D6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E137D6"/>
    <w:rPr>
      <w:color w:val="0000FF"/>
    </w:rPr>
  </w:style>
  <w:style w:type="paragraph" w:styleId="Corpodetexto2">
    <w:name w:val="Body Text 2"/>
    <w:basedOn w:val="Normal"/>
    <w:link w:val="Corpodetexto2Char"/>
    <w:rsid w:val="00E137D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137D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137D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137D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137D6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137D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137D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137D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137D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137D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137D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137D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137D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137D6"/>
    <w:pPr>
      <w:ind w:left="0"/>
    </w:pPr>
  </w:style>
  <w:style w:type="paragraph" w:styleId="ndicedeilustraes">
    <w:name w:val="table of figures"/>
    <w:basedOn w:val="Normal"/>
    <w:next w:val="Normal"/>
    <w:semiHidden/>
    <w:rsid w:val="00E137D6"/>
  </w:style>
  <w:style w:type="paragraph" w:styleId="Sumrio2">
    <w:name w:val="toc 2"/>
    <w:basedOn w:val="Normal"/>
    <w:next w:val="Normal"/>
    <w:autoRedefine/>
    <w:uiPriority w:val="39"/>
    <w:rsid w:val="00E137D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137D6"/>
    <w:pPr>
      <w:ind w:left="480"/>
    </w:pPr>
  </w:style>
  <w:style w:type="character" w:styleId="Hyperlink">
    <w:name w:val="Hyperlink"/>
    <w:basedOn w:val="Fontepargpadro"/>
    <w:uiPriority w:val="99"/>
    <w:rsid w:val="00E137D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137D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137D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137D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137D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137D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137D6"/>
    <w:rPr>
      <w:sz w:val="16"/>
    </w:rPr>
  </w:style>
  <w:style w:type="character" w:styleId="Nmerodepgina">
    <w:name w:val="page number"/>
    <w:basedOn w:val="Fontepargpadro"/>
    <w:rsid w:val="00E137D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137D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137D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137D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137D6"/>
  </w:style>
  <w:style w:type="paragraph" w:styleId="Corpodetexto">
    <w:name w:val="Body Text"/>
    <w:basedOn w:val="Normal"/>
    <w:link w:val="CorpodetextoChar"/>
    <w:rsid w:val="00E137D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137D6"/>
    <w:rPr>
      <w:rFonts w:eastAsia="Arial Unicode MS"/>
    </w:rPr>
  </w:style>
  <w:style w:type="paragraph" w:customStyle="1" w:styleId="tabletext">
    <w:name w:val="tabletext"/>
    <w:basedOn w:val="Normal"/>
    <w:rsid w:val="00E137D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137D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137D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137D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137D6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E137D6"/>
    <w:rPr>
      <w:color w:val="0000FF"/>
    </w:rPr>
  </w:style>
  <w:style w:type="paragraph" w:styleId="Corpodetexto2">
    <w:name w:val="Body Text 2"/>
    <w:basedOn w:val="Normal"/>
    <w:link w:val="Corpodetexto2Char"/>
    <w:rsid w:val="00E137D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137D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137D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137D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137D6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CF5BAD-3960-4619-BC77-B52C76941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12</Pages>
  <Words>1520</Words>
  <Characters>10207</Characters>
  <Application>Microsoft Office Word</Application>
  <DocSecurity>0</DocSecurity>
  <Lines>85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11704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2014-11-08T04:28:00Z</cp:lastPrinted>
  <dcterms:created xsi:type="dcterms:W3CDTF">2014-11-08T04:27:00Z</dcterms:created>
  <dcterms:modified xsi:type="dcterms:W3CDTF">2014-11-26T16:29:00Z</dcterms:modified>
</cp:coreProperties>
</file>