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1D3" w:rsidRDefault="00D221D3" w:rsidP="00D221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221D3" w:rsidRDefault="00D221D3" w:rsidP="00D221D3">
      <w:pPr>
        <w:widowControl w:val="0"/>
        <w:rPr>
          <w:rFonts w:cs="Arial"/>
          <w:sz w:val="20"/>
        </w:rPr>
      </w:pPr>
    </w:p>
    <w:p w:rsidR="00D221D3" w:rsidRDefault="00D221D3" w:rsidP="00D221D3">
      <w:pPr>
        <w:widowControl w:val="0"/>
        <w:rPr>
          <w:rFonts w:cs="Arial"/>
          <w:sz w:val="20"/>
        </w:rPr>
      </w:pPr>
    </w:p>
    <w:p w:rsidR="00D221D3" w:rsidRDefault="00D221D3" w:rsidP="00D221D3">
      <w:pPr>
        <w:widowControl w:val="0"/>
        <w:rPr>
          <w:rFonts w:cs="Arial"/>
          <w:sz w:val="20"/>
        </w:rPr>
      </w:pPr>
    </w:p>
    <w:p w:rsidR="00D221D3" w:rsidRDefault="00D221D3" w:rsidP="00D221D3">
      <w:pPr>
        <w:widowControl w:val="0"/>
        <w:rPr>
          <w:rFonts w:cs="Arial"/>
          <w:sz w:val="20"/>
        </w:rPr>
      </w:pPr>
    </w:p>
    <w:p w:rsidR="00D221D3" w:rsidRDefault="00D221D3" w:rsidP="00D221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221D3" w:rsidRDefault="00D221D3" w:rsidP="00D221D3">
      <w:pPr>
        <w:widowControl w:val="0"/>
        <w:rPr>
          <w:rFonts w:cs="Arial"/>
          <w:sz w:val="20"/>
          <w:u w:val="single"/>
        </w:rPr>
      </w:pPr>
    </w:p>
    <w:p w:rsidR="00D221D3" w:rsidRDefault="00D221D3" w:rsidP="00D221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221D3" w:rsidRDefault="00D221D3" w:rsidP="00D221D3">
      <w:pPr>
        <w:widowControl w:val="0"/>
        <w:rPr>
          <w:rFonts w:cs="Arial"/>
          <w:sz w:val="20"/>
        </w:rPr>
      </w:pPr>
    </w:p>
    <w:p w:rsidR="00D221D3" w:rsidRDefault="00D221D3" w:rsidP="00D221D3">
      <w:pPr>
        <w:widowControl w:val="0"/>
        <w:rPr>
          <w:rFonts w:cs="Arial"/>
          <w:sz w:val="20"/>
        </w:rPr>
      </w:pPr>
    </w:p>
    <w:p w:rsidR="00D221D3" w:rsidRDefault="00D221D3" w:rsidP="00D221D3">
      <w:pPr>
        <w:widowControl w:val="0"/>
        <w:rPr>
          <w:rFonts w:cs="Arial"/>
          <w:sz w:val="20"/>
        </w:rPr>
      </w:pPr>
    </w:p>
    <w:p w:rsidR="00D221D3" w:rsidRDefault="00D221D3" w:rsidP="00D221D3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221D3" w:rsidRDefault="00D221D3" w:rsidP="00D221D3">
      <w:pPr>
        <w:widowControl w:val="0"/>
        <w:rPr>
          <w:rFonts w:cs="Arial"/>
          <w:sz w:val="20"/>
        </w:rPr>
      </w:pPr>
    </w:p>
    <w:p w:rsidR="00D221D3" w:rsidRDefault="00D221D3" w:rsidP="00D221D3">
      <w:pPr>
        <w:widowControl w:val="0"/>
        <w:rPr>
          <w:rFonts w:cs="Arial"/>
          <w:sz w:val="20"/>
        </w:rPr>
      </w:pPr>
    </w:p>
    <w:p w:rsidR="00D221D3" w:rsidRDefault="00D221D3" w:rsidP="00D221D3">
      <w:pPr>
        <w:widowControl w:val="0"/>
        <w:rPr>
          <w:rFonts w:cs="Arial"/>
        </w:rPr>
      </w:pPr>
    </w:p>
    <w:p w:rsidR="00D221D3" w:rsidRDefault="00D221D3" w:rsidP="00D221D3">
      <w:pPr>
        <w:pStyle w:val="Capa"/>
        <w:rPr>
          <w:color w:val="FF9900"/>
        </w:rPr>
      </w:pPr>
      <w:r>
        <w:t>SINDRAPE</w:t>
      </w:r>
    </w:p>
    <w:p w:rsidR="00D221D3" w:rsidRDefault="00D221D3" w:rsidP="00D221D3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221D3" w:rsidRPr="00D221D3" w:rsidRDefault="00D221D3" w:rsidP="00D221D3">
      <w:pPr>
        <w:widowControl w:val="0"/>
        <w:rPr>
          <w:color w:val="000080"/>
        </w:rPr>
      </w:pPr>
    </w:p>
    <w:p w:rsidR="00D221D3" w:rsidRPr="00D221D3" w:rsidRDefault="00D221D3" w:rsidP="00D221D3">
      <w:pPr>
        <w:widowControl w:val="0"/>
        <w:jc w:val="right"/>
        <w:rPr>
          <w:rFonts w:cs="Arial"/>
          <w:b/>
          <w:bCs/>
          <w:color w:val="000080"/>
        </w:rPr>
      </w:pPr>
    </w:p>
    <w:p w:rsidR="00D221D3" w:rsidRDefault="00D221D3" w:rsidP="00D221D3">
      <w:pPr>
        <w:pStyle w:val="Capa"/>
      </w:pPr>
      <w:r>
        <w:t>UCS0444 – Manter Limitadores da Base de Cálculo das Pensões</w:t>
      </w:r>
    </w:p>
    <w:p w:rsidR="00D221D3" w:rsidRDefault="00D221D3" w:rsidP="00D221D3">
      <w:pPr>
        <w:widowControl w:val="0"/>
        <w:rPr>
          <w:rFonts w:cs="Arial"/>
        </w:rPr>
      </w:pPr>
    </w:p>
    <w:p w:rsidR="00D221D3" w:rsidRDefault="00D221D3" w:rsidP="00D221D3">
      <w:pPr>
        <w:widowControl w:val="0"/>
      </w:pPr>
    </w:p>
    <w:p w:rsidR="00D221D3" w:rsidRDefault="00D221D3" w:rsidP="00D221D3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221D3" w:rsidRPr="00D221D3" w:rsidRDefault="00D221D3" w:rsidP="00D221D3">
      <w:pPr>
        <w:pStyle w:val="Corpodetexto3"/>
        <w:widowControl w:val="0"/>
        <w:spacing w:after="0"/>
        <w:rPr>
          <w:rFonts w:cs="Arial"/>
        </w:rPr>
      </w:pPr>
      <w:r w:rsidRPr="00D221D3">
        <w:rPr>
          <w:rFonts w:cs="Arial"/>
        </w:rPr>
        <w:lastRenderedPageBreak/>
        <w:t>Histórico de Revisões</w:t>
      </w:r>
    </w:p>
    <w:p w:rsidR="00D221D3" w:rsidRDefault="00D221D3" w:rsidP="00D221D3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D221D3" w:rsidTr="00D221D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221D3" w:rsidTr="00D221D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11/03/2008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Tiago </w:t>
            </w:r>
            <w:proofErr w:type="spellStart"/>
            <w:r>
              <w:rPr>
                <w:rFonts w:cs="Arial"/>
              </w:rPr>
              <w:t>Schraiber</w:t>
            </w:r>
            <w:proofErr w:type="spellEnd"/>
          </w:p>
        </w:tc>
      </w:tr>
      <w:tr w:rsidR="00D221D3" w:rsidTr="00D221D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221D3" w:rsidTr="00D221D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221D3" w:rsidTr="00D221D3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221D3" w:rsidRDefault="00D221D3" w:rsidP="00D221D3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221D3" w:rsidRPr="00D221D3" w:rsidRDefault="00D221D3" w:rsidP="00D221D3">
      <w:pPr>
        <w:pStyle w:val="Corpodetexto3"/>
        <w:widowControl w:val="0"/>
        <w:spacing w:after="0"/>
        <w:jc w:val="left"/>
        <w:rPr>
          <w:rFonts w:cs="Arial"/>
        </w:rPr>
      </w:pPr>
      <w:r w:rsidRPr="00D221D3">
        <w:rPr>
          <w:rFonts w:cs="Arial"/>
        </w:rPr>
        <w:lastRenderedPageBreak/>
        <w:t>Índice</w:t>
      </w:r>
    </w:p>
    <w:p w:rsidR="00D221D3" w:rsidRPr="00D221D3" w:rsidRDefault="00D221D3" w:rsidP="00D221D3">
      <w:pPr>
        <w:pStyle w:val="Corpodetexto3"/>
        <w:widowControl w:val="0"/>
        <w:spacing w:after="0"/>
        <w:jc w:val="left"/>
        <w:rPr>
          <w:rFonts w:cs="Arial"/>
        </w:rPr>
      </w:pPr>
    </w:p>
    <w:p w:rsidR="00D221D3" w:rsidRDefault="005F24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F2450">
        <w:rPr>
          <w:rFonts w:cs="Arial"/>
        </w:rPr>
        <w:fldChar w:fldCharType="begin"/>
      </w:r>
      <w:r w:rsidR="00D221D3">
        <w:rPr>
          <w:rFonts w:cs="Arial"/>
        </w:rPr>
        <w:instrText xml:space="preserve"> TOC \o "1-3" \h \z </w:instrText>
      </w:r>
      <w:r w:rsidRPr="005F2450">
        <w:rPr>
          <w:rFonts w:cs="Arial"/>
        </w:rPr>
        <w:fldChar w:fldCharType="separate"/>
      </w:r>
      <w:hyperlink w:anchor="_Toc403177182" w:history="1">
        <w:r w:rsidR="00D221D3" w:rsidRPr="00B74450">
          <w:rPr>
            <w:rStyle w:val="Hyperlink"/>
            <w:noProof/>
          </w:rPr>
          <w:t>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Pacote/Caso de Uso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83" w:history="1">
        <w:r w:rsidR="00D221D3" w:rsidRPr="00B74450">
          <w:rPr>
            <w:rStyle w:val="Hyperlink"/>
            <w:noProof/>
          </w:rPr>
          <w:t>1.1.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Descrição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84" w:history="1">
        <w:r w:rsidR="00D221D3" w:rsidRPr="00B74450">
          <w:rPr>
            <w:rStyle w:val="Hyperlink"/>
            <w:noProof/>
          </w:rPr>
          <w:t>1.2.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Requisitos atendidos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85" w:history="1">
        <w:r w:rsidR="00D221D3" w:rsidRPr="00B74450">
          <w:rPr>
            <w:rStyle w:val="Hyperlink"/>
            <w:noProof/>
          </w:rPr>
          <w:t>2.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Conceito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86" w:history="1">
        <w:r w:rsidR="00D221D3" w:rsidRPr="00B74450">
          <w:rPr>
            <w:rStyle w:val="Hyperlink"/>
            <w:noProof/>
          </w:rPr>
          <w:t>2.1.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Conceitos principais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87" w:history="1">
        <w:r w:rsidR="00D221D3" w:rsidRPr="00B74450">
          <w:rPr>
            <w:rStyle w:val="Hyperlink"/>
            <w:noProof/>
          </w:rPr>
          <w:t>2.2.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Conceitos associados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88" w:history="1">
        <w:r w:rsidR="00D221D3" w:rsidRPr="00B74450">
          <w:rPr>
            <w:rStyle w:val="Hyperlink"/>
            <w:noProof/>
          </w:rPr>
          <w:t>3.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Diagrama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89" w:history="1">
        <w:r w:rsidR="00D221D3" w:rsidRPr="00B74450">
          <w:rPr>
            <w:rStyle w:val="Hyperlink"/>
            <w:noProof/>
          </w:rPr>
          <w:t>4.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Casos de Uso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90" w:history="1">
        <w:r w:rsidR="00D221D3" w:rsidRPr="00B74450">
          <w:rPr>
            <w:rStyle w:val="Hyperlink"/>
            <w:noProof/>
          </w:rPr>
          <w:t>4.1.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Incluir limitador de base de cálculo de pensão previdenciária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91" w:history="1">
        <w:r w:rsidR="00D221D3" w:rsidRPr="00B74450">
          <w:rPr>
            <w:rStyle w:val="Hyperlink"/>
            <w:noProof/>
          </w:rPr>
          <w:t>4.1.1.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Fluxo Básico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92" w:history="1">
        <w:r w:rsidR="00D221D3" w:rsidRPr="00B74450">
          <w:rPr>
            <w:rStyle w:val="Hyperlink"/>
            <w:noProof/>
          </w:rPr>
          <w:t>4.1.2.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Exceções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93" w:history="1">
        <w:r w:rsidR="00D221D3" w:rsidRPr="00B74450">
          <w:rPr>
            <w:rStyle w:val="Hyperlink"/>
            <w:noProof/>
          </w:rPr>
          <w:t>4.2.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Alterar limitador de base de cálculo de pensão previdenciária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94" w:history="1">
        <w:r w:rsidR="00D221D3" w:rsidRPr="00B74450">
          <w:rPr>
            <w:rStyle w:val="Hyperlink"/>
            <w:noProof/>
          </w:rPr>
          <w:t>4.2.1.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Fluxo Básico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95" w:history="1">
        <w:r w:rsidR="00D221D3" w:rsidRPr="00B74450">
          <w:rPr>
            <w:rStyle w:val="Hyperlink"/>
            <w:noProof/>
          </w:rPr>
          <w:t>4.2.2.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Exceções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96" w:history="1">
        <w:r w:rsidR="00D221D3" w:rsidRPr="00B74450">
          <w:rPr>
            <w:rStyle w:val="Hyperlink"/>
            <w:noProof/>
          </w:rPr>
          <w:t>4.2.3.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Fluxo alternativo – Alteração retificadora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97" w:history="1">
        <w:r w:rsidR="00D221D3" w:rsidRPr="00B74450">
          <w:rPr>
            <w:rStyle w:val="Hyperlink"/>
            <w:noProof/>
          </w:rPr>
          <w:t>4.2.4.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Fluxo Alternativo – Criar nova vigência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98" w:history="1">
        <w:r w:rsidR="00D221D3" w:rsidRPr="00B74450">
          <w:rPr>
            <w:rStyle w:val="Hyperlink"/>
            <w:noProof/>
          </w:rPr>
          <w:t>4.3.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Excluir limitador de base de cálculo de pensão previdenciária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199" w:history="1">
        <w:r w:rsidR="00D221D3" w:rsidRPr="00B74450">
          <w:rPr>
            <w:rStyle w:val="Hyperlink"/>
            <w:noProof/>
          </w:rPr>
          <w:t>4.3.1.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Fluxo Básico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00" w:history="1">
        <w:r w:rsidR="00D221D3" w:rsidRPr="00B74450">
          <w:rPr>
            <w:rStyle w:val="Hyperlink"/>
            <w:noProof/>
          </w:rPr>
          <w:t>4.3.2.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Exceções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01" w:history="1">
        <w:r w:rsidR="00D221D3" w:rsidRPr="00B74450">
          <w:rPr>
            <w:rStyle w:val="Hyperlink"/>
            <w:noProof/>
          </w:rPr>
          <w:t>4.4.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Listar limitador de base de cálculo de pensão previdenciária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02" w:history="1">
        <w:r w:rsidR="00D221D3" w:rsidRPr="00B74450">
          <w:rPr>
            <w:rStyle w:val="Hyperlink"/>
            <w:noProof/>
          </w:rPr>
          <w:t>4.4.1.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Fluxo Básico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03" w:history="1">
        <w:r w:rsidR="00D221D3" w:rsidRPr="00B74450">
          <w:rPr>
            <w:rStyle w:val="Hyperlink"/>
            <w:noProof/>
          </w:rPr>
          <w:t>5.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Regras Gerais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04" w:history="1">
        <w:r w:rsidR="00D221D3" w:rsidRPr="00B74450">
          <w:rPr>
            <w:rStyle w:val="Hyperlink"/>
            <w:noProof/>
          </w:rPr>
          <w:t>5.1.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R001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05" w:history="1">
        <w:r w:rsidR="00D221D3" w:rsidRPr="00B74450">
          <w:rPr>
            <w:rStyle w:val="Hyperlink"/>
            <w:noProof/>
          </w:rPr>
          <w:t>5.1.1.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Verificar pagamentos fechados na inclusão de limitador de base de cálculo de pensão previdenciária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06" w:history="1">
        <w:r w:rsidR="00D221D3" w:rsidRPr="00B74450">
          <w:rPr>
            <w:rStyle w:val="Hyperlink"/>
            <w:noProof/>
          </w:rPr>
          <w:t>5.2.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R002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07" w:history="1">
        <w:r w:rsidR="00D221D3" w:rsidRPr="00B74450">
          <w:rPr>
            <w:rStyle w:val="Hyperlink"/>
            <w:noProof/>
          </w:rPr>
          <w:t>5.2.1.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Verificar pagamentos fechados na alteração retificadora de limitador de base de cálculo de pensão previdenciária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08" w:history="1">
        <w:r w:rsidR="00D221D3" w:rsidRPr="00B74450">
          <w:rPr>
            <w:rStyle w:val="Hyperlink"/>
            <w:noProof/>
          </w:rPr>
          <w:t>5.3.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R003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09" w:history="1">
        <w:r w:rsidR="00D221D3" w:rsidRPr="00B74450">
          <w:rPr>
            <w:rStyle w:val="Hyperlink"/>
            <w:noProof/>
          </w:rPr>
          <w:t>5.3.1.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Verificar pagamentos fechados na alteração, opção criar nova vigência de limitador de base de cálculo de pensão previdenciária.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10" w:history="1">
        <w:r w:rsidR="00D221D3" w:rsidRPr="00B74450">
          <w:rPr>
            <w:rStyle w:val="Hyperlink"/>
            <w:noProof/>
          </w:rPr>
          <w:t>5.4.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R004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11" w:history="1">
        <w:r w:rsidR="00D221D3" w:rsidRPr="00B74450">
          <w:rPr>
            <w:rStyle w:val="Hyperlink"/>
            <w:noProof/>
          </w:rPr>
          <w:t>5.4.1.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Verificar pagamentos fechados na exclusão de limitador de base de cálculo de pensão previdenciária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12" w:history="1">
        <w:r w:rsidR="00D221D3" w:rsidRPr="00B74450">
          <w:rPr>
            <w:rStyle w:val="Hyperlink"/>
            <w:noProof/>
          </w:rPr>
          <w:t>6.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Anexos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221D3" w:rsidRDefault="005F24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177213" w:history="1">
        <w:r w:rsidR="00D221D3" w:rsidRPr="00B74450">
          <w:rPr>
            <w:rStyle w:val="Hyperlink"/>
            <w:rFonts w:eastAsia="Arial Unicode MS"/>
            <w:noProof/>
          </w:rPr>
          <w:t>7.</w:t>
        </w:r>
        <w:r w:rsidR="00D221D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21D3" w:rsidRPr="00B74450">
          <w:rPr>
            <w:rStyle w:val="Hyperlink"/>
            <w:noProof/>
          </w:rPr>
          <w:t>Revisões</w:t>
        </w:r>
        <w:r w:rsidR="00D221D3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221D3">
          <w:rPr>
            <w:noProof/>
            <w:webHidden/>
          </w:rPr>
          <w:instrText xml:space="preserve"> PAGEREF _Toc403177213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387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221D3" w:rsidRDefault="005F2450" w:rsidP="00D221D3">
      <w:pPr>
        <w:pStyle w:val="Sumrio1"/>
      </w:pPr>
      <w:r>
        <w:fldChar w:fldCharType="end"/>
      </w:r>
    </w:p>
    <w:p w:rsidR="00D221D3" w:rsidRDefault="00D221D3" w:rsidP="00D221D3">
      <w:pPr>
        <w:widowControl w:val="0"/>
        <w:rPr>
          <w:rFonts w:cs="Arial"/>
          <w:b/>
          <w:bCs/>
          <w:color w:val="000000"/>
        </w:rPr>
      </w:pPr>
    </w:p>
    <w:p w:rsidR="00D221D3" w:rsidRDefault="00D221D3" w:rsidP="00D221D3">
      <w:pPr>
        <w:pStyle w:val="Heading"/>
        <w:rPr>
          <w:rFonts w:cs="Arial"/>
          <w:szCs w:val="24"/>
          <w:lang w:val="pt-BR"/>
        </w:rPr>
      </w:pPr>
    </w:p>
    <w:p w:rsidR="00D221D3" w:rsidRDefault="00D221D3" w:rsidP="00D221D3">
      <w:pPr>
        <w:pStyle w:val="Heading"/>
      </w:pPr>
    </w:p>
    <w:p w:rsidR="00D221D3" w:rsidRDefault="00D221D3" w:rsidP="00D221D3">
      <w:pPr>
        <w:pStyle w:val="Heading"/>
        <w:jc w:val="center"/>
      </w:pPr>
    </w:p>
    <w:p w:rsidR="00D221D3" w:rsidRDefault="00D221D3" w:rsidP="00D221D3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221D3" w:rsidRDefault="00D221D3" w:rsidP="00D221D3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3177182"/>
      <w:r>
        <w:lastRenderedPageBreak/>
        <w:t>Pacote/Caso de Uso</w:t>
      </w:r>
      <w:bookmarkEnd w:id="0"/>
    </w:p>
    <w:p w:rsidR="00D221D3" w:rsidRDefault="00D221D3" w:rsidP="00D221D3"/>
    <w:p w:rsidR="00D221D3" w:rsidRDefault="00D221D3" w:rsidP="00D221D3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</w:t>
      </w:r>
      <w:r>
        <w:rPr>
          <w:rFonts w:cs="Arial"/>
          <w:b/>
          <w:bCs/>
          <w:sz w:val="28"/>
        </w:rPr>
        <w:t xml:space="preserve"> </w:t>
      </w:r>
      <w:r>
        <w:rPr>
          <w:rFonts w:cs="Arial"/>
          <w:b/>
          <w:snapToGrid w:val="0"/>
          <w:color w:val="000080"/>
          <w:sz w:val="28"/>
          <w:szCs w:val="28"/>
        </w:rPr>
        <w:t>limitadores da base de cálculo das pensões</w:t>
      </w:r>
    </w:p>
    <w:p w:rsidR="00D221D3" w:rsidRDefault="00D221D3" w:rsidP="00D221D3">
      <w:pPr>
        <w:widowControl w:val="0"/>
        <w:ind w:left="902"/>
        <w:rPr>
          <w:rFonts w:cs="Arial"/>
          <w:b/>
          <w:bCs/>
          <w:color w:val="FF0000"/>
        </w:rPr>
      </w:pPr>
    </w:p>
    <w:p w:rsidR="00D221D3" w:rsidRDefault="00D221D3" w:rsidP="00D221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3177183"/>
      <w:r>
        <w:t>Descrição</w:t>
      </w:r>
      <w:bookmarkEnd w:id="1"/>
    </w:p>
    <w:p w:rsidR="00D221D3" w:rsidRDefault="00D221D3" w:rsidP="00D221D3">
      <w:pPr>
        <w:pStyle w:val="Recuodecorpodetexto2"/>
        <w:widowControl w:val="0"/>
        <w:ind w:left="1620" w:firstLine="0"/>
        <w:rPr>
          <w:sz w:val="24"/>
        </w:rPr>
      </w:pPr>
    </w:p>
    <w:p w:rsidR="00D221D3" w:rsidRDefault="00D221D3" w:rsidP="00D221D3">
      <w:pPr>
        <w:ind w:left="540"/>
        <w:rPr>
          <w:rFonts w:cs="Arial"/>
        </w:rPr>
      </w:pPr>
      <w:r>
        <w:rPr>
          <w:rFonts w:cs="Arial"/>
        </w:rPr>
        <w:t>Manter os parâmetros que estabelecem os limitadores para o valor das bases de cálculo das pensões previdenciárias.</w:t>
      </w:r>
    </w:p>
    <w:p w:rsidR="00D221D3" w:rsidRDefault="00D221D3" w:rsidP="00D221D3">
      <w:pPr>
        <w:pStyle w:val="Recuodecorpodetexto2"/>
        <w:widowControl w:val="0"/>
        <w:ind w:left="1620" w:firstLine="0"/>
        <w:rPr>
          <w:sz w:val="24"/>
        </w:rPr>
      </w:pPr>
    </w:p>
    <w:p w:rsidR="00D221D3" w:rsidRDefault="00D221D3" w:rsidP="00D221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3177184"/>
      <w:r>
        <w:t>Requisitos atendidos</w:t>
      </w:r>
      <w:bookmarkEnd w:id="2"/>
    </w:p>
    <w:p w:rsidR="00D221D3" w:rsidRDefault="00D221D3" w:rsidP="00D221D3"/>
    <w:p w:rsidR="00D221D3" w:rsidRDefault="00D221D3" w:rsidP="00D221D3">
      <w:pPr>
        <w:pStyle w:val="Recuodecorpodetexto"/>
        <w:ind w:left="1260"/>
      </w:pPr>
      <w:r>
        <w:t>R3</w:t>
      </w:r>
      <w:r w:rsidR="000748AA">
        <w:t xml:space="preserve"> – Parametrização para controle de pensões.</w:t>
      </w:r>
    </w:p>
    <w:p w:rsidR="00D221D3" w:rsidRDefault="00D221D3" w:rsidP="00D221D3"/>
    <w:p w:rsidR="00D221D3" w:rsidRDefault="00D221D3" w:rsidP="00D221D3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3177185"/>
      <w:r>
        <w:t>Conceito</w:t>
      </w:r>
      <w:bookmarkEnd w:id="3"/>
      <w:r>
        <w:tab/>
      </w:r>
    </w:p>
    <w:p w:rsidR="00D221D3" w:rsidRDefault="00D221D3" w:rsidP="00D221D3"/>
    <w:p w:rsidR="00D221D3" w:rsidRDefault="00D221D3" w:rsidP="00D221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3177186"/>
      <w:r>
        <w:t>Conceitos principais</w:t>
      </w:r>
      <w:bookmarkEnd w:id="4"/>
      <w:r>
        <w:br/>
      </w:r>
    </w:p>
    <w:tbl>
      <w:tblPr>
        <w:tblW w:w="0" w:type="auto"/>
        <w:tblInd w:w="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650"/>
        <w:gridCol w:w="5454"/>
      </w:tblGrid>
      <w:tr w:rsidR="00D221D3" w:rsidTr="0097135F"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D221D3">
            <w:pPr>
              <w:ind w:left="0"/>
              <w:jc w:val="left"/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Limitador da base de cálculo das pensões previdenciárias</w:t>
            </w:r>
          </w:p>
        </w:tc>
        <w:tc>
          <w:tcPr>
            <w:tcW w:w="5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1D3" w:rsidRDefault="00D221D3" w:rsidP="0097135F">
            <w:pPr>
              <w:rPr>
                <w:rFonts w:cs="Arial"/>
              </w:rPr>
            </w:pPr>
            <w:r>
              <w:rPr>
                <w:rFonts w:cs="Arial"/>
              </w:rPr>
              <w:t>Limitadores a serem aplicados no cálculo final da base de cálculo das pensões previdenciárias.</w:t>
            </w:r>
          </w:p>
          <w:p w:rsidR="00D221D3" w:rsidRDefault="00D221D3" w:rsidP="0097135F">
            <w:pPr>
              <w:rPr>
                <w:rFonts w:cs="Arial"/>
              </w:rPr>
            </w:pPr>
          </w:p>
          <w:p w:rsidR="00D221D3" w:rsidRDefault="00D221D3" w:rsidP="00D221D3">
            <w:pPr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Um limitador da base de cálculo está associado obrigatoriamente a um determinado órgão e opcionalmente a uma carreira. </w:t>
            </w:r>
          </w:p>
          <w:p w:rsidR="00D221D3" w:rsidRDefault="00D221D3" w:rsidP="0097135F">
            <w:pPr>
              <w:rPr>
                <w:rFonts w:cs="Arial"/>
                <w:b/>
                <w:bCs/>
                <w:i/>
                <w:iCs/>
                <w:color w:val="000000"/>
              </w:rPr>
            </w:pPr>
            <w:r>
              <w:rPr>
                <w:rFonts w:cs="Arial"/>
              </w:rPr>
              <w:t>O identificador chave principal de um limitador no sistema é a carreira. No caso de carreira não preenchida para o limitador, então a chave principal é o órgão especificado.</w:t>
            </w:r>
          </w:p>
        </w:tc>
      </w:tr>
    </w:tbl>
    <w:p w:rsidR="00D221D3" w:rsidRDefault="00D221D3" w:rsidP="00D221D3">
      <w:pPr>
        <w:rPr>
          <w:rFonts w:cs="Arial"/>
        </w:rPr>
      </w:pPr>
    </w:p>
    <w:p w:rsidR="00D221D3" w:rsidRDefault="00D221D3" w:rsidP="00D221D3">
      <w:pPr>
        <w:rPr>
          <w:rFonts w:cs="Arial"/>
        </w:rPr>
      </w:pPr>
    </w:p>
    <w:p w:rsidR="00D221D3" w:rsidRDefault="00D221D3" w:rsidP="00D221D3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3177187"/>
      <w:r>
        <w:t>Conceitos associados</w:t>
      </w:r>
      <w:bookmarkEnd w:id="5"/>
    </w:p>
    <w:p w:rsidR="00D221D3" w:rsidRDefault="00D221D3" w:rsidP="00D221D3">
      <w:pPr>
        <w:pStyle w:val="Cabealho"/>
        <w:ind w:firstLine="540"/>
        <w:rPr>
          <w:rFonts w:cs="Arial"/>
        </w:rPr>
      </w:pPr>
      <w:r>
        <w:rPr>
          <w:rFonts w:cs="Arial"/>
        </w:rPr>
        <w:t>Não se aplica.</w:t>
      </w:r>
    </w:p>
    <w:p w:rsidR="00D221D3" w:rsidRDefault="00D221D3" w:rsidP="00D221D3">
      <w:pPr>
        <w:rPr>
          <w:rFonts w:eastAsia="Arial Unicode MS"/>
        </w:rPr>
      </w:pPr>
    </w:p>
    <w:p w:rsidR="00D221D3" w:rsidRDefault="00D221D3" w:rsidP="00D221D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6" w:name="_Toc403177188"/>
      <w:r>
        <w:lastRenderedPageBreak/>
        <w:t>Diagrama</w:t>
      </w:r>
      <w:bookmarkEnd w:id="6"/>
    </w:p>
    <w:p w:rsidR="00D221D3" w:rsidRDefault="00D221D3" w:rsidP="00D221D3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221D3" w:rsidRDefault="00F2182B" w:rsidP="00D221D3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3190875"/>
            <wp:effectExtent l="1905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1D3" w:rsidRDefault="00D221D3" w:rsidP="00D221D3">
      <w:pPr>
        <w:widowControl w:val="0"/>
        <w:jc w:val="center"/>
        <w:rPr>
          <w:rFonts w:cs="Arial"/>
        </w:rPr>
      </w:pPr>
    </w:p>
    <w:p w:rsidR="00D221D3" w:rsidRDefault="00D221D3" w:rsidP="00D221D3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3177189"/>
      <w:r>
        <w:lastRenderedPageBreak/>
        <w:t>Casos de Uso</w:t>
      </w:r>
      <w:bookmarkEnd w:id="7"/>
    </w:p>
    <w:p w:rsidR="00D221D3" w:rsidRDefault="00D221D3" w:rsidP="00D221D3">
      <w:pPr>
        <w:pStyle w:val="Ttulo2"/>
      </w:pPr>
      <w:r>
        <w:rPr>
          <w:vanish/>
        </w:rPr>
        <w:t xml:space="preserve">UCS357 </w:t>
      </w:r>
      <w:bookmarkStart w:id="8" w:name="_Toc403177190"/>
      <w:r>
        <w:t>Incluir limitador de base de cálculo de pensão previdenciária</w:t>
      </w:r>
      <w:bookmarkEnd w:id="8"/>
      <w:r>
        <w:t> </w:t>
      </w:r>
    </w:p>
    <w:p w:rsidR="00D221D3" w:rsidRDefault="00D221D3" w:rsidP="00D221D3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3177191"/>
      <w:r>
        <w:t>Fluxo Básico</w:t>
      </w:r>
      <w:bookmarkEnd w:id="9"/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“Incluir limitador de base de cálculo de pensão previdenciária”.  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 conforme Regras de negócio (vide R001 e Exceções). 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D221D3" w:rsidRDefault="00D221D3" w:rsidP="00D221D3">
      <w:pPr>
        <w:pStyle w:val="Ttulo4"/>
        <w:numPr>
          <w:ilvl w:val="0"/>
          <w:numId w:val="0"/>
        </w:numPr>
        <w:ind w:left="2160" w:hanging="1080"/>
      </w:pPr>
    </w:p>
    <w:p w:rsidR="00D221D3" w:rsidRDefault="00D221D3" w:rsidP="00D221D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0" w:name="_Toc403177192"/>
      <w:r>
        <w:t>Exceções</w:t>
      </w:r>
      <w:bookmarkEnd w:id="10"/>
    </w:p>
    <w:p w:rsidR="00D221D3" w:rsidRDefault="00D221D3" w:rsidP="00D221D3">
      <w:pPr>
        <w:pStyle w:val="Ttulo4"/>
        <w:numPr>
          <w:ilvl w:val="0"/>
          <w:numId w:val="0"/>
        </w:numPr>
        <w:ind w:left="2160" w:hanging="1080"/>
      </w:pP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o período inicial da vigência para órgão e/ou carreira, onde já exista vigência cadastrada para este órgão e ou carreira. O sistema exibe a mensagem MSG1415</w:t>
      </w:r>
      <w:r>
        <w:rPr>
          <w:b/>
        </w:rPr>
        <w:t xml:space="preserve"> </w:t>
      </w:r>
      <w:r>
        <w:t xml:space="preserve">(“Já existe vigência cadastrada para este órgão e/ou carreira.”). </w:t>
      </w:r>
    </w:p>
    <w:p w:rsidR="00D221D3" w:rsidRDefault="00D221D3" w:rsidP="00D221D3">
      <w:pPr>
        <w:pStyle w:val="Ttulo4"/>
        <w:numPr>
          <w:ilvl w:val="0"/>
          <w:numId w:val="0"/>
        </w:numPr>
      </w:pPr>
    </w:p>
    <w:p w:rsidR="00D221D3" w:rsidRDefault="00D221D3" w:rsidP="00D221D3">
      <w:pPr>
        <w:pStyle w:val="Ttulo4"/>
        <w:numPr>
          <w:ilvl w:val="0"/>
          <w:numId w:val="0"/>
        </w:numPr>
        <w:ind w:left="2160" w:hanging="1080"/>
      </w:pPr>
    </w:p>
    <w:p w:rsidR="00D221D3" w:rsidRDefault="00D221D3" w:rsidP="00D221D3">
      <w:pPr>
        <w:pStyle w:val="Ttulo2"/>
      </w:pPr>
      <w:r>
        <w:rPr>
          <w:vanish/>
        </w:rPr>
        <w:t xml:space="preserve">UCS358 </w:t>
      </w:r>
      <w:bookmarkStart w:id="11" w:name="_Toc403177193"/>
      <w:r>
        <w:t>Alterar limitador de base de cálculo de pensão previdenciária</w:t>
      </w:r>
      <w:bookmarkEnd w:id="11"/>
      <w:r>
        <w:t> </w:t>
      </w:r>
    </w:p>
    <w:p w:rsidR="00D221D3" w:rsidRDefault="00D221D3" w:rsidP="00D221D3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3177194"/>
      <w:r>
        <w:t>Fluxo Básico</w:t>
      </w:r>
      <w:bookmarkEnd w:id="12"/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escolhe o registro após executar o caso de uso “Listar </w:t>
      </w:r>
      <w:r>
        <w:rPr>
          <w:color w:val="000000"/>
        </w:rPr>
        <w:t>limitadores de base de cálculo de pensão previdenciária</w:t>
      </w:r>
      <w:r>
        <w:t>”.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</w:t>
      </w:r>
      <w:proofErr w:type="gramStart"/>
      <w:r>
        <w:t>a</w:t>
      </w:r>
      <w:proofErr w:type="gramEnd"/>
      <w:r>
        <w:t xml:space="preserve"> funcionalidade que permite “Alterar Limitadores da Base de Cálculo das Pensões Previdenciárias”.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t>O sistema apresenta o formulário para preenchimento das informações.</w:t>
      </w:r>
    </w:p>
    <w:p w:rsidR="00D221D3" w:rsidRPr="0098763D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 w:rsidRPr="0098763D">
        <w:t>O ator preenche os dados na tela e submete a operação.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 w:rsidRPr="0098763D">
        <w:t>O sistema valida as informações de acordo com as Regras de Negócios</w:t>
      </w:r>
      <w:r>
        <w:t xml:space="preserve"> estabelecidas (Exceções) 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color w:val="000000"/>
        </w:rPr>
      </w:pPr>
      <w:r>
        <w:t xml:space="preserve">O sistema verifica o tipo de alteração e executa o fluxo </w:t>
      </w:r>
      <w:r>
        <w:lastRenderedPageBreak/>
        <w:t>4.2.3 ou 4.2.4.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D221D3" w:rsidRDefault="00D221D3" w:rsidP="00D221D3">
      <w:pPr>
        <w:pStyle w:val="Ttulo4"/>
        <w:numPr>
          <w:ilvl w:val="0"/>
          <w:numId w:val="0"/>
        </w:numPr>
        <w:ind w:left="1080"/>
      </w:pPr>
    </w:p>
    <w:p w:rsidR="00D221D3" w:rsidRDefault="00D221D3" w:rsidP="00D221D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3" w:name="_Toc192070114"/>
      <w:bookmarkStart w:id="14" w:name="_Toc403177195"/>
      <w:r>
        <w:t>Exceções</w:t>
      </w:r>
      <w:bookmarkEnd w:id="13"/>
      <w:bookmarkEnd w:id="14"/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alterar </w:t>
      </w:r>
      <w:r>
        <w:rPr>
          <w:color w:val="000000"/>
        </w:rPr>
        <w:t>limitador de base de cálculo de pensão previdenciária</w:t>
      </w:r>
      <w:r>
        <w:t xml:space="preserve"> que não seja relativo ao último registro vigente, inerente ao órgão e/ou a carreira selecionada. O sistema exibe a mensagem </w:t>
      </w:r>
      <w:r>
        <w:rPr>
          <w:bCs w:val="0"/>
        </w:rPr>
        <w:t>MSG1424</w:t>
      </w:r>
      <w:r>
        <w:t xml:space="preserve">(“É permitido &lt;operação&gt; apenas o &lt;nome do conceito&gt; da última vigência”). </w:t>
      </w:r>
    </w:p>
    <w:p w:rsidR="00D221D3" w:rsidRDefault="00D221D3" w:rsidP="00D221D3">
      <w:pPr>
        <w:pStyle w:val="Ttulo4"/>
        <w:numPr>
          <w:ilvl w:val="0"/>
          <w:numId w:val="0"/>
        </w:numPr>
        <w:ind w:left="1080"/>
      </w:pPr>
    </w:p>
    <w:p w:rsidR="00D221D3" w:rsidRDefault="00D221D3" w:rsidP="00D221D3">
      <w:pPr>
        <w:pStyle w:val="Ttulo4"/>
        <w:numPr>
          <w:ilvl w:val="0"/>
          <w:numId w:val="0"/>
        </w:numPr>
        <w:ind w:left="1080"/>
      </w:pPr>
    </w:p>
    <w:p w:rsidR="00D221D3" w:rsidRDefault="00D221D3" w:rsidP="00D221D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192070115"/>
      <w:bookmarkStart w:id="16" w:name="_Toc403177196"/>
      <w:r>
        <w:t>Fluxo alternativo – Alteração retificadora</w:t>
      </w:r>
      <w:bookmarkEnd w:id="15"/>
      <w:bookmarkEnd w:id="16"/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indicou que irá retificar última alteração.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estabelecidas. (vide R002 e exceções deste fluxo).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altera o limitador da base de cálculo das pensões (não gera novo registro).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atualiza o período final da vigência anterior, do órgão e/ou carreira selecionada, com o período imediatamente inferior ao período inicial da vigência em questão.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4.2.1.7</w:t>
      </w:r>
    </w:p>
    <w:p w:rsidR="00D221D3" w:rsidRDefault="00D221D3" w:rsidP="00D221D3">
      <w:pPr>
        <w:ind w:left="720"/>
      </w:pPr>
      <w:r>
        <w:br/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</w:rPr>
      </w:pPr>
      <w:r>
        <w:rPr>
          <w:b/>
        </w:rPr>
        <w:t>Exceções</w:t>
      </w:r>
    </w:p>
    <w:p w:rsidR="00D221D3" w:rsidRDefault="00D221D3" w:rsidP="00D221D3">
      <w:pPr>
        <w:pStyle w:val="Ttulo4"/>
        <w:numPr>
          <w:ilvl w:val="0"/>
          <w:numId w:val="0"/>
        </w:numPr>
        <w:ind w:left="2160" w:hanging="1080"/>
      </w:pPr>
    </w:p>
    <w:p w:rsidR="00D221D3" w:rsidRDefault="00D221D3" w:rsidP="00D221D3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jc w:val="left"/>
      </w:pPr>
      <w:r>
        <w:t>Tentativa de informar o período inicial da vigência menor ou igual ao período inicial da vigência anterior. O sistema exibe a mensagem MSG1406</w:t>
      </w:r>
      <w:r>
        <w:rPr>
          <w:b/>
        </w:rPr>
        <w:t xml:space="preserve"> </w:t>
      </w:r>
      <w:r>
        <w:t xml:space="preserve">(“O período inicial da vigência deve ser maior que o período inicial da vigência anterior"). </w:t>
      </w:r>
      <w:r>
        <w:br/>
      </w:r>
    </w:p>
    <w:p w:rsidR="00D221D3" w:rsidRDefault="00D221D3" w:rsidP="00D221D3"/>
    <w:p w:rsidR="00D221D3" w:rsidRDefault="00D221D3" w:rsidP="00D221D3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192070116"/>
      <w:bookmarkStart w:id="18" w:name="_Toc403177197"/>
      <w:r>
        <w:t>Fluxo Alternativo – Criar nova vigência</w:t>
      </w:r>
      <w:bookmarkEnd w:id="17"/>
      <w:bookmarkEnd w:id="18"/>
    </w:p>
    <w:p w:rsidR="00D221D3" w:rsidRDefault="00D221D3" w:rsidP="00D221D3">
      <w:pPr>
        <w:rPr>
          <w:rFonts w:cs="Arial"/>
          <w:color w:val="000000"/>
        </w:rPr>
      </w:pP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indicou que irá criar nova vigência.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estabelecidas. (vide R003 e exceções deste fluxo).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altera o limitador da base de cálculo das pensões, gerando um registro com o novo período de vigência informado.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atualiza o período final da vigência anterior, do órgão e/ou da carreira selecionada com o período imediatamente inferior ao novo período inicial da vigência em questão.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4.2.1.7</w:t>
      </w:r>
    </w:p>
    <w:p w:rsidR="00D221D3" w:rsidRDefault="00D221D3" w:rsidP="00D221D3">
      <w:pPr>
        <w:pStyle w:val="Ttulo4"/>
        <w:numPr>
          <w:ilvl w:val="0"/>
          <w:numId w:val="0"/>
        </w:numPr>
        <w:ind w:left="1080"/>
      </w:pPr>
    </w:p>
    <w:p w:rsidR="00D221D3" w:rsidRDefault="00D221D3" w:rsidP="00D221D3">
      <w:pPr>
        <w:pStyle w:val="Ttulo4"/>
        <w:numPr>
          <w:ilvl w:val="0"/>
          <w:numId w:val="0"/>
        </w:numPr>
        <w:ind w:left="1080"/>
      </w:pP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</w:rPr>
      </w:pPr>
      <w:r>
        <w:rPr>
          <w:b/>
        </w:rPr>
        <w:t>Exceções</w:t>
      </w:r>
    </w:p>
    <w:p w:rsidR="00D221D3" w:rsidRDefault="00D221D3" w:rsidP="00D221D3">
      <w:pPr>
        <w:pStyle w:val="Ttulo4"/>
        <w:numPr>
          <w:ilvl w:val="0"/>
          <w:numId w:val="0"/>
        </w:numPr>
        <w:rPr>
          <w:b/>
          <w:i/>
          <w:u w:val="single"/>
        </w:rPr>
      </w:pPr>
    </w:p>
    <w:p w:rsidR="00D221D3" w:rsidRDefault="00D221D3" w:rsidP="00D221D3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jc w:val="left"/>
        <w:rPr>
          <w:b/>
          <w:bCs w:val="0"/>
          <w:i/>
          <w:iCs/>
          <w:color w:val="000000"/>
          <w:u w:val="single"/>
        </w:rPr>
      </w:pPr>
      <w:r>
        <w:t>Tentativa de informar período inicial da vigência menor ou igual ao período inicial da vigência atual. O sistema exibe a mensagem MSG1407</w:t>
      </w:r>
      <w:r>
        <w:rPr>
          <w:b/>
        </w:rPr>
        <w:t xml:space="preserve"> </w:t>
      </w:r>
      <w:r>
        <w:t xml:space="preserve">(“O período inicial da nova vigência deve ser maior que o período inicial da vigência atual"). </w:t>
      </w:r>
      <w:r>
        <w:br/>
      </w:r>
    </w:p>
    <w:p w:rsidR="00D221D3" w:rsidRDefault="00D221D3" w:rsidP="00D221D3">
      <w:pPr>
        <w:pStyle w:val="Recuodecorpodetexto"/>
      </w:pPr>
    </w:p>
    <w:p w:rsidR="00D221D3" w:rsidRDefault="00D221D3" w:rsidP="00D221D3">
      <w:pPr>
        <w:pStyle w:val="Recuodecorpodetexto"/>
      </w:pPr>
    </w:p>
    <w:p w:rsidR="00D221D3" w:rsidRDefault="00D221D3" w:rsidP="00D221D3">
      <w:pPr>
        <w:pStyle w:val="Recuodecorpodetexto"/>
      </w:pPr>
    </w:p>
    <w:p w:rsidR="00D221D3" w:rsidRDefault="00D221D3" w:rsidP="00D221D3">
      <w:pPr>
        <w:pStyle w:val="Ttulo2"/>
      </w:pPr>
      <w:r>
        <w:rPr>
          <w:vanish/>
        </w:rPr>
        <w:t xml:space="preserve">UCS359 </w:t>
      </w:r>
      <w:bookmarkStart w:id="19" w:name="_Toc403177198"/>
      <w:r>
        <w:t>Excluir limitador de base de cálculo de pensão previdenciária</w:t>
      </w:r>
      <w:bookmarkEnd w:id="19"/>
      <w:r>
        <w:t> </w:t>
      </w:r>
    </w:p>
    <w:p w:rsidR="00D221D3" w:rsidRDefault="00D221D3" w:rsidP="00D221D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3177199"/>
      <w:r>
        <w:t>Fluxo Básico</w:t>
      </w:r>
      <w:bookmarkEnd w:id="20"/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escolhe o </w:t>
      </w:r>
      <w:r>
        <w:rPr>
          <w:color w:val="000000"/>
        </w:rPr>
        <w:t>limitador de base de cálculo de pensão previdenciária</w:t>
      </w:r>
      <w:r>
        <w:t xml:space="preserve"> após executar o caso de uso “Listar </w:t>
      </w:r>
      <w:r>
        <w:rPr>
          <w:color w:val="000000"/>
        </w:rPr>
        <w:t>limitadores de base de cálculo de pensão previdenciária</w:t>
      </w:r>
      <w:r>
        <w:t>”.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 de exclusão.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as Regras de Negócios estabelecidas. (vide R004 e exceções).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>
        <w:t xml:space="preserve">O sistema exclui o </w:t>
      </w:r>
      <w:r>
        <w:rPr>
          <w:color w:val="000000"/>
        </w:rPr>
        <w:t>limitador de base de cálculo de pensão previdenciária</w:t>
      </w:r>
      <w:r>
        <w:t xml:space="preserve">. 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  <w:bCs w:val="0"/>
          <w:color w:val="000000"/>
        </w:rPr>
      </w:pPr>
      <w:r>
        <w:t xml:space="preserve">O sistema altera o período final da última vigência, do órgão e/ou carreira selecionada para nulo. 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  <w:proofErr w:type="gramStart"/>
      <w:r>
        <w:br/>
      </w:r>
      <w:proofErr w:type="gramEnd"/>
    </w:p>
    <w:p w:rsidR="00D221D3" w:rsidRDefault="00D221D3" w:rsidP="00D221D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3177200"/>
      <w:r>
        <w:t>Exceções</w:t>
      </w:r>
      <w:bookmarkEnd w:id="21"/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excluir </w:t>
      </w:r>
      <w:r>
        <w:rPr>
          <w:color w:val="000000"/>
        </w:rPr>
        <w:t>limitador de base de cálculo de pensão previdenciária</w:t>
      </w:r>
      <w:r>
        <w:t xml:space="preserve"> que não seja relativo ao último registro vigente. O sistema exibe a mensagem </w:t>
      </w:r>
      <w:r>
        <w:rPr>
          <w:bCs w:val="0"/>
        </w:rPr>
        <w:t>MSG1339</w:t>
      </w:r>
      <w:r>
        <w:t xml:space="preserve">(“É permitido &lt;operação&gt; apenas o &lt;nome do conceito&gt; da </w:t>
      </w:r>
      <w:r>
        <w:lastRenderedPageBreak/>
        <w:t xml:space="preserve">última vigência”). </w:t>
      </w:r>
    </w:p>
    <w:p w:rsidR="00D221D3" w:rsidRDefault="00D221D3" w:rsidP="00D221D3">
      <w:pPr>
        <w:pStyle w:val="Recuodecorpodetexto"/>
      </w:pPr>
    </w:p>
    <w:p w:rsidR="00D221D3" w:rsidRDefault="00D221D3" w:rsidP="00D221D3">
      <w:pPr>
        <w:pStyle w:val="Recuodecorpodetexto"/>
      </w:pPr>
    </w:p>
    <w:p w:rsidR="00D221D3" w:rsidRDefault="00D221D3" w:rsidP="00D221D3">
      <w:pPr>
        <w:pStyle w:val="Ttulo2"/>
      </w:pPr>
      <w:r>
        <w:rPr>
          <w:vanish/>
        </w:rPr>
        <w:t xml:space="preserve">UCS360 </w:t>
      </w:r>
      <w:bookmarkStart w:id="22" w:name="_Toc403177201"/>
      <w:r>
        <w:t>Listar limitador de base de cálculo de pensão previdenciária</w:t>
      </w:r>
      <w:bookmarkEnd w:id="22"/>
      <w:r>
        <w:t> </w:t>
      </w:r>
    </w:p>
    <w:p w:rsidR="00D221D3" w:rsidRDefault="00D221D3" w:rsidP="00D221D3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3177202"/>
      <w:r>
        <w:t>Fluxo Básico</w:t>
      </w:r>
      <w:bookmarkEnd w:id="23"/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“limitadores da base de cálculo das pensões”. 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todas as vigências do limitador da base de cálculo das pensões, que atendam os filtros de pesquisa, ordenadas por ordem ascendente de carreira e por ordem decrescente da vigência inicial.</w:t>
      </w:r>
    </w:p>
    <w:p w:rsidR="00D221D3" w:rsidRDefault="00D221D3" w:rsidP="00D221D3">
      <w:pPr>
        <w:pStyle w:val="Ttulo3"/>
        <w:numPr>
          <w:ilvl w:val="0"/>
          <w:numId w:val="0"/>
        </w:numPr>
      </w:pPr>
    </w:p>
    <w:p w:rsidR="00D221D3" w:rsidRDefault="00D221D3" w:rsidP="00D221D3">
      <w:pPr>
        <w:pStyle w:val="Ttulo4"/>
        <w:numPr>
          <w:ilvl w:val="0"/>
          <w:numId w:val="0"/>
        </w:numPr>
      </w:pPr>
    </w:p>
    <w:p w:rsidR="00D221D3" w:rsidRDefault="00D221D3" w:rsidP="00D221D3">
      <w:pPr>
        <w:pStyle w:val="Ttulo1"/>
        <w:keepNext w:val="0"/>
        <w:widowControl w:val="0"/>
        <w:spacing w:before="0" w:line="240" w:lineRule="auto"/>
        <w:ind w:left="540" w:hanging="540"/>
      </w:pPr>
      <w:bookmarkStart w:id="24" w:name="_Toc403177203"/>
      <w:r>
        <w:t>Regras Gerais</w:t>
      </w:r>
      <w:bookmarkEnd w:id="24"/>
    </w:p>
    <w:p w:rsidR="00D221D3" w:rsidRDefault="00D221D3" w:rsidP="00D221D3"/>
    <w:p w:rsidR="008D6A7D" w:rsidRDefault="00D221D3" w:rsidP="008D6A7D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5" w:name="_Toc403177204"/>
      <w:r>
        <w:t>R001</w:t>
      </w:r>
      <w:bookmarkStart w:id="26" w:name="_Toc403177205"/>
      <w:bookmarkEnd w:id="25"/>
      <w:r w:rsidR="008D6A7D" w:rsidRPr="008D6A7D">
        <w:t xml:space="preserve"> </w:t>
      </w:r>
      <w:r w:rsidR="008D6A7D">
        <w:t>- Verificar pagamentos fechados na inclusão de limitador de base de cálculo de pensão previdenciária</w:t>
      </w:r>
      <w:bookmarkEnd w:id="26"/>
    </w:p>
    <w:p w:rsidR="00D221D3" w:rsidRDefault="00D221D3" w:rsidP="00D221D3"/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deve realizar o caso de uso “UCS 001 – Verificar Pagamentos Fechados” do módulo “Pagamentos”, informando o órgão, o indicativo de tipo de folha como “normal” (tipo de folha normal), o tipo de verificação “a partir de uma referência” e o período inicial da vigência em questão. (pode gerar exceção 5.1.1.2)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</w:rPr>
      </w:pPr>
      <w:r>
        <w:rPr>
          <w:b/>
        </w:rPr>
        <w:t>Exceção:</w:t>
      </w:r>
    </w:p>
    <w:p w:rsidR="00D221D3" w:rsidRDefault="00D221D3" w:rsidP="00D221D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Tentativa de inserir limitador de base de cálculo de pensão previdenciária, sendo que já existe pagamento fechado após o período inicial da vigência. O sistema emite a mensagem MSG1380 ("A folha de pagamento já foi calculada definitivamente a partir desta vigência.").</w:t>
      </w:r>
    </w:p>
    <w:p w:rsidR="00D221D3" w:rsidRDefault="00D221D3" w:rsidP="00D221D3">
      <w:pPr>
        <w:pStyle w:val="Ttulo4"/>
        <w:numPr>
          <w:ilvl w:val="0"/>
          <w:numId w:val="0"/>
        </w:numPr>
      </w:pPr>
    </w:p>
    <w:p w:rsidR="00D221D3" w:rsidRDefault="00D221D3" w:rsidP="00D221D3">
      <w:pPr>
        <w:pStyle w:val="Ttulo2"/>
        <w:widowControl w:val="0"/>
        <w:tabs>
          <w:tab w:val="num" w:pos="1620"/>
        </w:tabs>
        <w:spacing w:before="120" w:line="240" w:lineRule="auto"/>
        <w:ind w:left="1620" w:hanging="900"/>
      </w:pPr>
      <w:bookmarkStart w:id="27" w:name="_Toc403177206"/>
      <w:r>
        <w:t>R002</w:t>
      </w:r>
      <w:bookmarkStart w:id="28" w:name="_Toc403177207"/>
      <w:bookmarkEnd w:id="27"/>
      <w:r w:rsidR="008D6A7D">
        <w:t xml:space="preserve"> - </w:t>
      </w:r>
      <w:r>
        <w:t xml:space="preserve">Verificar pagamentos fechados na alteração retificadora de limitador de base de </w:t>
      </w:r>
      <w:r>
        <w:lastRenderedPageBreak/>
        <w:t>cálculo de pensão previdenciária</w:t>
      </w:r>
      <w:bookmarkEnd w:id="28"/>
    </w:p>
    <w:p w:rsidR="00D221D3" w:rsidRDefault="00D221D3" w:rsidP="00D221D3">
      <w:pPr>
        <w:pStyle w:val="Ttulo4"/>
        <w:numPr>
          <w:ilvl w:val="0"/>
          <w:numId w:val="0"/>
        </w:numPr>
        <w:ind w:left="1080"/>
      </w:pPr>
    </w:p>
    <w:p w:rsidR="00D221D3" w:rsidRDefault="00D221D3" w:rsidP="00D221D3">
      <w:pPr>
        <w:pStyle w:val="Ttulo4"/>
        <w:numPr>
          <w:ilvl w:val="0"/>
          <w:numId w:val="0"/>
        </w:numPr>
        <w:ind w:left="1080"/>
      </w:pPr>
    </w:p>
    <w:p w:rsidR="00D221D3" w:rsidRDefault="00D221D3" w:rsidP="008D6A7D">
      <w:pPr>
        <w:pStyle w:val="Ttulo3"/>
      </w:pPr>
      <w:r>
        <w:t xml:space="preserve">Caso o período inicial da vigência em questão </w:t>
      </w:r>
      <w:r>
        <w:rPr>
          <w:i/>
        </w:rPr>
        <w:t xml:space="preserve">não seja retificado: </w:t>
      </w:r>
    </w:p>
    <w:p w:rsidR="00D221D3" w:rsidRDefault="00D221D3" w:rsidP="00D221D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deve realizar o caso de uso “UCS 001 – Verificar Pagamentos Fechados” do módulo “Pagamentos”, informando o órgão, o indicativo de tipo de folha como normal (tipo de folha normal), o tipo de verificação “a partir de uma referência” e o período inicial da vigência em questão. (pode gerar exceção 5.2.1.3)</w:t>
      </w:r>
    </w:p>
    <w:p w:rsidR="00D221D3" w:rsidRDefault="00D221D3" w:rsidP="00D221D3">
      <w:pPr>
        <w:ind w:left="1440"/>
        <w:rPr>
          <w:rFonts w:cs="Arial"/>
          <w:color w:val="000000"/>
        </w:rPr>
      </w:pPr>
    </w:p>
    <w:p w:rsidR="00D221D3" w:rsidRDefault="00D221D3" w:rsidP="00D221D3">
      <w:pPr>
        <w:ind w:left="1440"/>
        <w:rPr>
          <w:rFonts w:cs="Arial"/>
          <w:color w:val="000000"/>
        </w:rPr>
      </w:pP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Caso o período inicial da vigência em questão </w:t>
      </w:r>
      <w:r>
        <w:rPr>
          <w:b/>
          <w:i/>
        </w:rPr>
        <w:t>seja retificado</w:t>
      </w:r>
      <w:r>
        <w:t xml:space="preserve">: </w:t>
      </w:r>
    </w:p>
    <w:p w:rsidR="00D221D3" w:rsidRDefault="00D221D3" w:rsidP="00D221D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deve realizar o caso de uso “UCS 001 – Verificar Pagamentos Fechados” do módulo “Pagamentos”, informando o órgão, o indicativo de tipo de folha como normal (tipo de folha normal), o tipo de verificação “a partir de uma referência” e o novo período inicial considerado. (pode gerar exceção 5.2.1.3)</w:t>
      </w:r>
    </w:p>
    <w:p w:rsidR="00D221D3" w:rsidRDefault="00D221D3" w:rsidP="00D221D3">
      <w:pPr>
        <w:pStyle w:val="Ttulo4"/>
        <w:numPr>
          <w:ilvl w:val="0"/>
          <w:numId w:val="0"/>
        </w:numPr>
        <w:ind w:left="1440"/>
      </w:pPr>
    </w:p>
    <w:p w:rsidR="00D221D3" w:rsidRDefault="00D221D3" w:rsidP="00D221D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deve realizar o caso de uso “UCS 001 – Verificar Pagamentos Fechados” do módulo “Pagamentos”, informando o órgão, o indicativo de tipo de folha como “normal” (tipo de folha normal), o tipo de verificação “a partir de uma referência” e o período desconsiderado. (pode gerar exceção 5.2.1.3)</w:t>
      </w:r>
    </w:p>
    <w:p w:rsidR="00D221D3" w:rsidRDefault="00D221D3" w:rsidP="00D221D3">
      <w:pPr>
        <w:pStyle w:val="Ttulo4"/>
        <w:numPr>
          <w:ilvl w:val="0"/>
          <w:numId w:val="0"/>
        </w:numPr>
        <w:ind w:left="1440"/>
      </w:pPr>
      <w:r>
        <w:br/>
      </w:r>
    </w:p>
    <w:p w:rsidR="00D221D3" w:rsidRDefault="00D221D3" w:rsidP="00D221D3"/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</w:rPr>
      </w:pPr>
      <w:r>
        <w:rPr>
          <w:b/>
        </w:rPr>
        <w:t>Exceção:</w:t>
      </w:r>
    </w:p>
    <w:p w:rsidR="00D221D3" w:rsidRDefault="00D221D3" w:rsidP="00D221D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Tentativa de alterar limitador de base de cálculo de pensão previdenciária, sendo que já existe pagamento fechado após o período informado. O sistema emite a mensagem MSG1380 ("A folha de pagamento já foi calculada definitivamente a partir desta vigência."). </w:t>
      </w:r>
    </w:p>
    <w:p w:rsidR="00D221D3" w:rsidRDefault="00D221D3" w:rsidP="00D221D3">
      <w:pPr>
        <w:pStyle w:val="Ttulo4"/>
        <w:numPr>
          <w:ilvl w:val="0"/>
          <w:numId w:val="0"/>
        </w:numPr>
        <w:ind w:left="1440"/>
      </w:pPr>
    </w:p>
    <w:p w:rsidR="00D221D3" w:rsidRDefault="00D221D3" w:rsidP="00D221D3">
      <w:pPr>
        <w:pStyle w:val="Ttulo2"/>
        <w:widowControl w:val="0"/>
        <w:tabs>
          <w:tab w:val="num" w:pos="1620"/>
        </w:tabs>
        <w:spacing w:before="120" w:line="240" w:lineRule="auto"/>
        <w:ind w:left="1620" w:hanging="900"/>
      </w:pPr>
      <w:bookmarkStart w:id="29" w:name="_Toc403177208"/>
      <w:r>
        <w:t>R003</w:t>
      </w:r>
      <w:bookmarkStart w:id="30" w:name="_Toc403177209"/>
      <w:bookmarkEnd w:id="29"/>
      <w:r w:rsidR="008D6A7D">
        <w:t xml:space="preserve"> - </w:t>
      </w:r>
      <w:r>
        <w:t xml:space="preserve">Verificar pagamentos fechados na </w:t>
      </w:r>
      <w:r>
        <w:lastRenderedPageBreak/>
        <w:t>alteração, opção criar nova vigência de limitador de base de cálculo de pensão previdenciária.</w:t>
      </w:r>
      <w:bookmarkEnd w:id="30"/>
      <w:r>
        <w:t xml:space="preserve"> </w:t>
      </w:r>
    </w:p>
    <w:p w:rsidR="00D221D3" w:rsidRDefault="00D221D3" w:rsidP="00D221D3">
      <w:pPr>
        <w:pStyle w:val="Ttulo4"/>
        <w:numPr>
          <w:ilvl w:val="0"/>
          <w:numId w:val="0"/>
        </w:numPr>
        <w:ind w:left="1080"/>
      </w:pP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deve realizar o caso de uso “UCS 001 – Verificar Pagamentos Fechados” do módulo “Pagamentos”, informando o órgão, o indicativo de tipo de folha como normal (tipo de folha normal), o tipo de verificação “a partir de uma referência” e o novo período inicial informado. (pode gerar exceção 5.3.1.2)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</w:rPr>
      </w:pPr>
      <w:r>
        <w:rPr>
          <w:b/>
        </w:rPr>
        <w:t>Exceção:</w:t>
      </w:r>
    </w:p>
    <w:p w:rsidR="00D221D3" w:rsidRDefault="00D221D3" w:rsidP="00D221D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Tentativa de inserir limitador de base de cálculo de pensão previdenciária, sendo que já existe pagamento fechado após o período inicial informado. O sistema emite a mensagem MSG1380 ("A folha de pagamento já foi calculada definitivamente a partir desta vigência.").</w:t>
      </w:r>
    </w:p>
    <w:p w:rsidR="00D221D3" w:rsidRDefault="00D221D3" w:rsidP="00D221D3"/>
    <w:p w:rsidR="00D221D3" w:rsidRDefault="00D221D3" w:rsidP="00D221D3">
      <w:pPr>
        <w:pStyle w:val="Ttulo2"/>
        <w:widowControl w:val="0"/>
        <w:tabs>
          <w:tab w:val="num" w:pos="1620"/>
        </w:tabs>
        <w:spacing w:before="120" w:line="240" w:lineRule="auto"/>
        <w:ind w:left="1620" w:hanging="900"/>
      </w:pPr>
      <w:bookmarkStart w:id="31" w:name="_Toc403177210"/>
      <w:r>
        <w:t>R004</w:t>
      </w:r>
      <w:bookmarkStart w:id="32" w:name="_Toc403177211"/>
      <w:bookmarkEnd w:id="31"/>
      <w:r w:rsidR="008D6A7D">
        <w:t xml:space="preserve"> - </w:t>
      </w:r>
      <w:r>
        <w:t>Verificar pagamentos fechados na exclusão de limitador de base de cálculo de pensão previdenciária</w:t>
      </w:r>
      <w:bookmarkEnd w:id="32"/>
    </w:p>
    <w:p w:rsidR="00D221D3" w:rsidRDefault="00D221D3" w:rsidP="00D221D3"/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deve realizar o caso de uso “UCS 001 – Verificar Pagamentos Fechados” do módulo “Pagamentos”, informando o órgão, o indicativo de tipo de folha como normal (tipo de folha normal), o tipo de verificação “a partir de uma referência” e o período inicial da vigência em questão. (pode gerar exceção 5.4.1.2)</w:t>
      </w:r>
    </w:p>
    <w:p w:rsidR="00D221D3" w:rsidRDefault="00D221D3" w:rsidP="00D221D3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b/>
        </w:rPr>
      </w:pPr>
      <w:r>
        <w:rPr>
          <w:b/>
        </w:rPr>
        <w:t>Exceção:</w:t>
      </w:r>
    </w:p>
    <w:p w:rsidR="00D221D3" w:rsidRDefault="00D221D3" w:rsidP="00D221D3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Tentativa de excluir limitador de base de cálculo de pensão previdenciária, sendo que já existe pagamento fechado após o período inicial da vigência. O sistema emite a mensagem MSG1380 ("A folha de pagamento já foi calculada definitivamente a partir desta vigência.").</w:t>
      </w:r>
    </w:p>
    <w:p w:rsidR="00D221D3" w:rsidRDefault="00D221D3" w:rsidP="00D221D3"/>
    <w:p w:rsidR="00D221D3" w:rsidRDefault="00D221D3" w:rsidP="00D221D3"/>
    <w:p w:rsidR="00D221D3" w:rsidRDefault="00D221D3" w:rsidP="00D221D3"/>
    <w:p w:rsidR="00D221D3" w:rsidRDefault="00D221D3" w:rsidP="00D221D3"/>
    <w:p w:rsidR="00D221D3" w:rsidRDefault="00D221D3" w:rsidP="00D221D3"/>
    <w:p w:rsidR="00D221D3" w:rsidRDefault="00D221D3" w:rsidP="00D221D3"/>
    <w:p w:rsidR="00D221D3" w:rsidRDefault="00D221D3" w:rsidP="00D221D3">
      <w:pPr>
        <w:pStyle w:val="Ttulo1"/>
        <w:keepNext w:val="0"/>
        <w:widowControl w:val="0"/>
        <w:spacing w:before="0" w:line="240" w:lineRule="auto"/>
        <w:ind w:left="540" w:hanging="540"/>
      </w:pPr>
      <w:bookmarkStart w:id="33" w:name="_Toc403177212"/>
      <w:r>
        <w:lastRenderedPageBreak/>
        <w:t>Anexos</w:t>
      </w:r>
      <w:bookmarkEnd w:id="33"/>
    </w:p>
    <w:p w:rsidR="00D221D3" w:rsidRDefault="00D221D3" w:rsidP="00D221D3"/>
    <w:p w:rsidR="00D221D3" w:rsidRDefault="00D221D3" w:rsidP="00D221D3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D221D3" w:rsidRDefault="00D221D3" w:rsidP="00D221D3">
      <w:pPr>
        <w:widowControl w:val="0"/>
        <w:ind w:left="540"/>
        <w:rPr>
          <w:rFonts w:cs="Arial"/>
        </w:rPr>
      </w:pPr>
    </w:p>
    <w:p w:rsidR="00F41655" w:rsidRPr="00D221D3" w:rsidRDefault="00F41655" w:rsidP="00D221D3"/>
    <w:sectPr w:rsidR="00F41655" w:rsidRPr="00D221D3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21D3" w:rsidRDefault="00D221D3" w:rsidP="002908D9">
      <w:r>
        <w:separator/>
      </w:r>
    </w:p>
  </w:endnote>
  <w:endnote w:type="continuationSeparator" w:id="0">
    <w:p w:rsidR="00D221D3" w:rsidRDefault="00D221D3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5F2450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5F2450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D6A7D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221D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Tiago </w:t>
          </w:r>
          <w:proofErr w:type="spellStart"/>
          <w:r>
            <w:rPr>
              <w:sz w:val="20"/>
              <w:szCs w:val="20"/>
            </w:rPr>
            <w:t>Schraiber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B023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221D3">
            <w:rPr>
              <w:b/>
              <w:sz w:val="20"/>
              <w:szCs w:val="20"/>
            </w:rPr>
            <w:t>Previdência</w:t>
          </w:r>
          <w:r w:rsidR="005B0235">
            <w:rPr>
              <w:b/>
              <w:sz w:val="20"/>
              <w:szCs w:val="20"/>
            </w:rPr>
            <w:t xml:space="preserve"> -</w:t>
          </w:r>
          <w:r w:rsidR="00D221D3">
            <w:rPr>
              <w:b/>
              <w:sz w:val="20"/>
              <w:szCs w:val="20"/>
            </w:rPr>
            <w:t xml:space="preserve"> Pensão Previdenciária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B0235" w:rsidRPr="005B0235">
            <w:rPr>
              <w:b/>
              <w:sz w:val="20"/>
              <w:szCs w:val="20"/>
            </w:rPr>
            <w:t>UCS0444 – Manter Limitadores da Base de Cálculo das Pensões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21D3" w:rsidRDefault="00D221D3" w:rsidP="002908D9">
      <w:r>
        <w:separator/>
      </w:r>
    </w:p>
  </w:footnote>
  <w:footnote w:type="continuationSeparator" w:id="0">
    <w:p w:rsidR="00D221D3" w:rsidRDefault="00D221D3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5F2450" w:rsidP="002908D9">
    <w:pPr>
      <w:pStyle w:val="Cabealho"/>
    </w:pPr>
    <w:r w:rsidRPr="005F2450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5F2450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C86E9ED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D221D3"/>
    <w:rsid w:val="0000536A"/>
    <w:rsid w:val="00010C94"/>
    <w:rsid w:val="00011A7E"/>
    <w:rsid w:val="000748AA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87C"/>
    <w:rsid w:val="00463AB4"/>
    <w:rsid w:val="004E0834"/>
    <w:rsid w:val="004F657F"/>
    <w:rsid w:val="00550536"/>
    <w:rsid w:val="0059301A"/>
    <w:rsid w:val="005B0235"/>
    <w:rsid w:val="005D35E4"/>
    <w:rsid w:val="005F2450"/>
    <w:rsid w:val="00616D7E"/>
    <w:rsid w:val="00623E87"/>
    <w:rsid w:val="00652148"/>
    <w:rsid w:val="00772123"/>
    <w:rsid w:val="007A4B3D"/>
    <w:rsid w:val="007E2985"/>
    <w:rsid w:val="00845060"/>
    <w:rsid w:val="008806C7"/>
    <w:rsid w:val="008D6A7D"/>
    <w:rsid w:val="0091194C"/>
    <w:rsid w:val="009123FD"/>
    <w:rsid w:val="0098763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221D3"/>
    <w:rsid w:val="00DB0139"/>
    <w:rsid w:val="00DF1DDA"/>
    <w:rsid w:val="00E81253"/>
    <w:rsid w:val="00F071FA"/>
    <w:rsid w:val="00F2182B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221D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221D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221D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221D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221D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221D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221D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221D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221D3"/>
    <w:pPr>
      <w:ind w:left="0"/>
    </w:pPr>
  </w:style>
  <w:style w:type="paragraph" w:styleId="ndicedeilustraes">
    <w:name w:val="table of figures"/>
    <w:basedOn w:val="Normal"/>
    <w:next w:val="Normal"/>
    <w:semiHidden/>
    <w:rsid w:val="00D221D3"/>
  </w:style>
  <w:style w:type="paragraph" w:styleId="Sumrio2">
    <w:name w:val="toc 2"/>
    <w:basedOn w:val="Normal"/>
    <w:next w:val="Normal"/>
    <w:autoRedefine/>
    <w:uiPriority w:val="39"/>
    <w:rsid w:val="00D221D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221D3"/>
    <w:pPr>
      <w:ind w:left="480"/>
    </w:pPr>
  </w:style>
  <w:style w:type="character" w:styleId="Hyperlink">
    <w:name w:val="Hyperlink"/>
    <w:basedOn w:val="Fontepargpadro"/>
    <w:uiPriority w:val="99"/>
    <w:rsid w:val="00D221D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221D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221D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221D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221D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221D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221D3"/>
    <w:rPr>
      <w:sz w:val="16"/>
    </w:rPr>
  </w:style>
  <w:style w:type="character" w:styleId="Nmerodepgina">
    <w:name w:val="page number"/>
    <w:basedOn w:val="Fontepargpadro"/>
    <w:rsid w:val="00D221D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221D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221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221D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221D3"/>
  </w:style>
  <w:style w:type="paragraph" w:styleId="Corpodetexto">
    <w:name w:val="Body Text"/>
    <w:basedOn w:val="Normal"/>
    <w:link w:val="CorpodetextoChar"/>
    <w:rsid w:val="00D221D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221D3"/>
    <w:rPr>
      <w:rFonts w:eastAsia="Arial Unicode MS"/>
    </w:rPr>
  </w:style>
  <w:style w:type="paragraph" w:customStyle="1" w:styleId="tabletext">
    <w:name w:val="tabletext"/>
    <w:basedOn w:val="Normal"/>
    <w:rsid w:val="00D221D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221D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221D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221D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221D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221D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221D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221D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221D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221D3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221D3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221D3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221D3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221D3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221D3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D221D3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D221D3"/>
  </w:style>
  <w:style w:type="paragraph" w:customStyle="1" w:styleId="Tabela1">
    <w:name w:val="Tabela 1"/>
    <w:basedOn w:val="Normal"/>
    <w:autoRedefine/>
    <w:rsid w:val="00D221D3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221D3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221D3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221D3"/>
    <w:pPr>
      <w:ind w:left="0"/>
    </w:pPr>
  </w:style>
  <w:style w:type="paragraph" w:styleId="ndicedeilustraes">
    <w:name w:val="table of figures"/>
    <w:basedOn w:val="Normal"/>
    <w:next w:val="Normal"/>
    <w:semiHidden/>
    <w:rsid w:val="00D221D3"/>
  </w:style>
  <w:style w:type="paragraph" w:styleId="Sumrio2">
    <w:name w:val="toc 2"/>
    <w:basedOn w:val="Normal"/>
    <w:next w:val="Normal"/>
    <w:autoRedefine/>
    <w:uiPriority w:val="39"/>
    <w:rsid w:val="00D221D3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221D3"/>
    <w:pPr>
      <w:ind w:left="480"/>
    </w:pPr>
  </w:style>
  <w:style w:type="character" w:styleId="Hyperlink">
    <w:name w:val="Hyperlink"/>
    <w:basedOn w:val="Fontepargpadro"/>
    <w:uiPriority w:val="99"/>
    <w:rsid w:val="00D221D3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221D3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221D3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221D3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221D3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221D3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221D3"/>
    <w:rPr>
      <w:sz w:val="16"/>
    </w:rPr>
  </w:style>
  <w:style w:type="character" w:styleId="Nmerodepgina">
    <w:name w:val="page number"/>
    <w:basedOn w:val="Fontepargpadro"/>
    <w:rsid w:val="00D221D3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221D3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221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221D3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221D3"/>
  </w:style>
  <w:style w:type="paragraph" w:styleId="Corpodetexto">
    <w:name w:val="Body Text"/>
    <w:basedOn w:val="Normal"/>
    <w:link w:val="CorpodetextoChar"/>
    <w:rsid w:val="00D221D3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221D3"/>
    <w:rPr>
      <w:rFonts w:eastAsia="Arial Unicode MS"/>
    </w:rPr>
  </w:style>
  <w:style w:type="paragraph" w:customStyle="1" w:styleId="tabletext">
    <w:name w:val="tabletext"/>
    <w:basedOn w:val="Normal"/>
    <w:rsid w:val="00D221D3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221D3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221D3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221D3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221D3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221D3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221D3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221D3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221D3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221D3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614311-6FDB-44DF-8005-C10AD467B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6</TotalTime>
  <Pages>14</Pages>
  <Words>1713</Words>
  <Characters>10855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12543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7</cp:revision>
  <cp:lastPrinted>2014-11-08T04:30:00Z</cp:lastPrinted>
  <dcterms:created xsi:type="dcterms:W3CDTF">2014-11-08T04:30:00Z</dcterms:created>
  <dcterms:modified xsi:type="dcterms:W3CDTF">2014-11-26T13:22:00Z</dcterms:modified>
</cp:coreProperties>
</file>