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34F" w:rsidRDefault="00B3534F" w:rsidP="00B3534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3534F" w:rsidRDefault="00B3534F" w:rsidP="00B3534F">
      <w:pPr>
        <w:widowControl w:val="0"/>
        <w:rPr>
          <w:rFonts w:cs="Arial"/>
          <w:sz w:val="20"/>
        </w:rPr>
      </w:pPr>
    </w:p>
    <w:p w:rsidR="00B3534F" w:rsidRDefault="00B3534F" w:rsidP="00B3534F">
      <w:pPr>
        <w:widowControl w:val="0"/>
        <w:rPr>
          <w:rFonts w:cs="Arial"/>
          <w:sz w:val="20"/>
        </w:rPr>
      </w:pPr>
    </w:p>
    <w:p w:rsidR="00B3534F" w:rsidRDefault="00B3534F" w:rsidP="00B3534F">
      <w:pPr>
        <w:widowControl w:val="0"/>
        <w:rPr>
          <w:rFonts w:cs="Arial"/>
          <w:sz w:val="20"/>
        </w:rPr>
      </w:pPr>
    </w:p>
    <w:p w:rsidR="00B3534F" w:rsidRDefault="00B3534F" w:rsidP="00B3534F">
      <w:pPr>
        <w:widowControl w:val="0"/>
        <w:rPr>
          <w:rFonts w:cs="Arial"/>
          <w:sz w:val="20"/>
        </w:rPr>
      </w:pPr>
    </w:p>
    <w:p w:rsidR="00B3534F" w:rsidRDefault="00B3534F" w:rsidP="00B3534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3534F" w:rsidRDefault="00B3534F" w:rsidP="00B3534F">
      <w:pPr>
        <w:widowControl w:val="0"/>
        <w:rPr>
          <w:rFonts w:cs="Arial"/>
          <w:sz w:val="20"/>
          <w:u w:val="single"/>
        </w:rPr>
      </w:pPr>
    </w:p>
    <w:p w:rsidR="00B3534F" w:rsidRDefault="00B3534F" w:rsidP="00B3534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3534F" w:rsidRDefault="00B3534F" w:rsidP="00B3534F">
      <w:pPr>
        <w:widowControl w:val="0"/>
        <w:rPr>
          <w:rFonts w:cs="Arial"/>
          <w:sz w:val="20"/>
        </w:rPr>
      </w:pPr>
    </w:p>
    <w:p w:rsidR="00B3534F" w:rsidRDefault="00B3534F" w:rsidP="00B3534F">
      <w:pPr>
        <w:widowControl w:val="0"/>
        <w:rPr>
          <w:rFonts w:cs="Arial"/>
          <w:sz w:val="20"/>
        </w:rPr>
      </w:pPr>
    </w:p>
    <w:p w:rsidR="00B3534F" w:rsidRDefault="00B3534F" w:rsidP="00B3534F">
      <w:pPr>
        <w:widowControl w:val="0"/>
        <w:rPr>
          <w:rFonts w:cs="Arial"/>
          <w:sz w:val="20"/>
        </w:rPr>
      </w:pPr>
    </w:p>
    <w:p w:rsidR="00B3534F" w:rsidRDefault="00B3534F" w:rsidP="00B3534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3534F" w:rsidRDefault="00B3534F" w:rsidP="00B3534F">
      <w:pPr>
        <w:widowControl w:val="0"/>
        <w:rPr>
          <w:rFonts w:cs="Arial"/>
          <w:sz w:val="20"/>
        </w:rPr>
      </w:pPr>
    </w:p>
    <w:p w:rsidR="00B3534F" w:rsidRDefault="00B3534F" w:rsidP="00B3534F">
      <w:pPr>
        <w:widowControl w:val="0"/>
        <w:rPr>
          <w:rFonts w:cs="Arial"/>
          <w:sz w:val="20"/>
        </w:rPr>
      </w:pPr>
    </w:p>
    <w:p w:rsidR="00B3534F" w:rsidRDefault="00B3534F" w:rsidP="00B3534F">
      <w:pPr>
        <w:widowControl w:val="0"/>
        <w:rPr>
          <w:rFonts w:cs="Arial"/>
        </w:rPr>
      </w:pPr>
    </w:p>
    <w:p w:rsidR="00B3534F" w:rsidRPr="00014613" w:rsidRDefault="00B3534F" w:rsidP="00B3534F">
      <w:pPr>
        <w:pStyle w:val="Capa"/>
        <w:rPr>
          <w:color w:val="FF9900"/>
        </w:rPr>
      </w:pPr>
      <w:r>
        <w:t>SINDRAPE</w:t>
      </w:r>
    </w:p>
    <w:p w:rsidR="00B3534F" w:rsidRPr="00014613" w:rsidRDefault="00B3534F" w:rsidP="00B3534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3534F" w:rsidRPr="00B3534F" w:rsidRDefault="00B3534F" w:rsidP="00B3534F">
      <w:pPr>
        <w:widowControl w:val="0"/>
        <w:rPr>
          <w:color w:val="000080"/>
        </w:rPr>
      </w:pPr>
    </w:p>
    <w:p w:rsidR="00B3534F" w:rsidRPr="00B3534F" w:rsidRDefault="00B3534F" w:rsidP="00B3534F">
      <w:pPr>
        <w:widowControl w:val="0"/>
        <w:jc w:val="right"/>
        <w:rPr>
          <w:rFonts w:cs="Arial"/>
          <w:b/>
          <w:bCs/>
          <w:color w:val="000080"/>
        </w:rPr>
      </w:pPr>
    </w:p>
    <w:p w:rsidR="00B3534F" w:rsidRPr="00014613" w:rsidRDefault="00B3534F" w:rsidP="00B3534F">
      <w:pPr>
        <w:pStyle w:val="Capa"/>
      </w:pPr>
      <w:r>
        <w:t>UCS0545</w:t>
      </w:r>
      <w:r w:rsidR="00D960DC">
        <w:t xml:space="preserve"> </w:t>
      </w:r>
      <w:r>
        <w:t>– Definir Parâmetros de Reversão</w:t>
      </w:r>
    </w:p>
    <w:p w:rsidR="00B3534F" w:rsidRPr="00014613" w:rsidRDefault="00B3534F" w:rsidP="00B3534F">
      <w:pPr>
        <w:widowControl w:val="0"/>
        <w:rPr>
          <w:rFonts w:cs="Arial"/>
        </w:rPr>
      </w:pPr>
    </w:p>
    <w:p w:rsidR="00B3534F" w:rsidRPr="00014613" w:rsidRDefault="00B3534F" w:rsidP="00B3534F">
      <w:pPr>
        <w:widowControl w:val="0"/>
      </w:pPr>
    </w:p>
    <w:p w:rsidR="00B3534F" w:rsidRPr="00014613" w:rsidRDefault="00B3534F" w:rsidP="00B3534F">
      <w:pPr>
        <w:pStyle w:val="Corpodetexto3"/>
        <w:widowControl w:val="0"/>
        <w:spacing w:after="0"/>
        <w:rPr>
          <w:rFonts w:cs="Arial"/>
        </w:rPr>
      </w:pPr>
      <w:r w:rsidRPr="00014613">
        <w:rPr>
          <w:b w:val="0"/>
        </w:rPr>
        <w:br w:type="page"/>
      </w:r>
    </w:p>
    <w:p w:rsidR="00B3534F" w:rsidRPr="00B3534F" w:rsidRDefault="00B3534F" w:rsidP="00B3534F">
      <w:pPr>
        <w:pStyle w:val="Corpodetexto3"/>
        <w:widowControl w:val="0"/>
        <w:spacing w:after="0"/>
        <w:rPr>
          <w:rFonts w:cs="Arial"/>
        </w:rPr>
      </w:pPr>
      <w:r w:rsidRPr="00B3534F">
        <w:rPr>
          <w:rFonts w:cs="Arial"/>
        </w:rPr>
        <w:lastRenderedPageBreak/>
        <w:t>Histórico de Revisões</w:t>
      </w:r>
    </w:p>
    <w:p w:rsidR="00B3534F" w:rsidRPr="00B3534F" w:rsidRDefault="00B3534F" w:rsidP="00B3534F">
      <w:pPr>
        <w:pStyle w:val="Corpodetexto3"/>
        <w:widowControl w:val="0"/>
        <w:spacing w:after="0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3534F" w:rsidRPr="00014613" w:rsidTr="00B3534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B3534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014613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B3534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014613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B3534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014613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B3534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014613">
              <w:rPr>
                <w:rFonts w:cs="Arial"/>
                <w:b/>
                <w:bCs/>
              </w:rPr>
              <w:t>Autor</w:t>
            </w:r>
          </w:p>
        </w:tc>
      </w:tr>
      <w:tr w:rsidR="00B3534F" w:rsidRPr="00014613" w:rsidTr="00B3534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B3534F">
            <w:pPr>
              <w:widowControl w:val="0"/>
              <w:ind w:left="0"/>
              <w:jc w:val="left"/>
              <w:rPr>
                <w:rFonts w:cs="Arial"/>
              </w:rPr>
            </w:pPr>
            <w:r w:rsidRPr="00014613">
              <w:rPr>
                <w:rFonts w:cs="Arial"/>
              </w:rPr>
              <w:t>14/09/2009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B3534F">
            <w:pPr>
              <w:widowControl w:val="0"/>
              <w:ind w:left="0"/>
              <w:jc w:val="left"/>
              <w:rPr>
                <w:rFonts w:cs="Arial"/>
              </w:rPr>
            </w:pPr>
            <w:r w:rsidRPr="00014613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B3534F">
            <w:pPr>
              <w:widowControl w:val="0"/>
              <w:ind w:left="0"/>
              <w:jc w:val="left"/>
              <w:rPr>
                <w:rFonts w:cs="Arial"/>
              </w:rPr>
            </w:pPr>
            <w:r w:rsidRPr="00014613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B3534F">
            <w:pPr>
              <w:widowControl w:val="0"/>
              <w:ind w:left="0"/>
              <w:jc w:val="left"/>
              <w:rPr>
                <w:rFonts w:cs="Arial"/>
              </w:rPr>
            </w:pPr>
            <w:r w:rsidRPr="00014613">
              <w:rPr>
                <w:rFonts w:cs="Arial"/>
              </w:rPr>
              <w:t>Nelson Brandão Luiz</w:t>
            </w:r>
          </w:p>
        </w:tc>
      </w:tr>
      <w:tr w:rsidR="00B3534F" w:rsidRPr="00014613" w:rsidTr="00B3534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B3534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B3534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B3534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B3534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3534F" w:rsidRPr="00014613" w:rsidRDefault="00B3534F" w:rsidP="00B3534F">
      <w:pPr>
        <w:pStyle w:val="Corpodetexto3"/>
        <w:widowControl w:val="0"/>
        <w:spacing w:after="0"/>
        <w:jc w:val="left"/>
        <w:rPr>
          <w:rFonts w:cs="Arial"/>
        </w:rPr>
      </w:pPr>
      <w:r w:rsidRPr="00014613">
        <w:br w:type="page"/>
      </w:r>
    </w:p>
    <w:p w:rsidR="00B3534F" w:rsidRPr="00B3534F" w:rsidRDefault="00B3534F" w:rsidP="00B3534F">
      <w:pPr>
        <w:pStyle w:val="Corpodetexto3"/>
        <w:widowControl w:val="0"/>
        <w:spacing w:after="0"/>
        <w:jc w:val="left"/>
        <w:rPr>
          <w:rFonts w:cs="Arial"/>
        </w:rPr>
      </w:pPr>
      <w:r w:rsidRPr="00B3534F">
        <w:rPr>
          <w:rFonts w:cs="Arial"/>
        </w:rPr>
        <w:lastRenderedPageBreak/>
        <w:t>Índice</w:t>
      </w:r>
    </w:p>
    <w:p w:rsidR="00B3534F" w:rsidRPr="00B3534F" w:rsidRDefault="00B3534F" w:rsidP="00B3534F">
      <w:pPr>
        <w:pStyle w:val="Corpodetexto3"/>
        <w:widowControl w:val="0"/>
        <w:spacing w:after="0"/>
        <w:jc w:val="left"/>
        <w:rPr>
          <w:rFonts w:cs="Arial"/>
          <w:sz w:val="2"/>
        </w:rPr>
      </w:pPr>
    </w:p>
    <w:bookmarkStart w:id="0" w:name="_GoBack"/>
    <w:bookmarkEnd w:id="0"/>
    <w:p w:rsidR="00D960DC" w:rsidRDefault="00B3534F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014613">
        <w:rPr>
          <w:rFonts w:cs="Arial"/>
        </w:rPr>
        <w:fldChar w:fldCharType="begin"/>
      </w:r>
      <w:r w:rsidRPr="00014613">
        <w:rPr>
          <w:rFonts w:cs="Arial"/>
        </w:rPr>
        <w:instrText xml:space="preserve"> TOC \o "1-3" \h \z </w:instrText>
      </w:r>
      <w:r w:rsidRPr="00014613">
        <w:rPr>
          <w:rFonts w:cs="Arial"/>
        </w:rPr>
        <w:fldChar w:fldCharType="separate"/>
      </w:r>
      <w:hyperlink w:anchor="_Toc404772746" w:history="1">
        <w:r w:rsidR="00D960DC" w:rsidRPr="00DB4D80">
          <w:rPr>
            <w:rStyle w:val="Hyperlink"/>
            <w:noProof/>
          </w:rPr>
          <w:t>1.</w:t>
        </w:r>
        <w:r w:rsidR="00D960D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960DC" w:rsidRPr="00DB4D80">
          <w:rPr>
            <w:rStyle w:val="Hyperlink"/>
            <w:noProof/>
          </w:rPr>
          <w:t>Pacote/Caso de Uso</w:t>
        </w:r>
        <w:r w:rsidR="00D960DC">
          <w:rPr>
            <w:noProof/>
            <w:webHidden/>
          </w:rPr>
          <w:tab/>
        </w:r>
        <w:r w:rsidR="00D960DC">
          <w:rPr>
            <w:noProof/>
            <w:webHidden/>
          </w:rPr>
          <w:fldChar w:fldCharType="begin"/>
        </w:r>
        <w:r w:rsidR="00D960DC">
          <w:rPr>
            <w:noProof/>
            <w:webHidden/>
          </w:rPr>
          <w:instrText xml:space="preserve"> PAGEREF _Toc404772746 \h </w:instrText>
        </w:r>
        <w:r w:rsidR="00D960DC">
          <w:rPr>
            <w:noProof/>
            <w:webHidden/>
          </w:rPr>
        </w:r>
        <w:r w:rsidR="00D960DC">
          <w:rPr>
            <w:noProof/>
            <w:webHidden/>
          </w:rPr>
          <w:fldChar w:fldCharType="separate"/>
        </w:r>
        <w:r w:rsidR="00D960DC">
          <w:rPr>
            <w:noProof/>
            <w:webHidden/>
          </w:rPr>
          <w:t>5</w:t>
        </w:r>
        <w:r w:rsidR="00D960DC"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47" w:history="1">
        <w:r w:rsidRPr="00DB4D8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48" w:history="1">
        <w:r w:rsidRPr="00DB4D8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49" w:history="1">
        <w:r w:rsidRPr="00DB4D8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50" w:history="1">
        <w:r w:rsidRPr="00DB4D8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51" w:history="1">
        <w:r w:rsidRPr="00DB4D8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52" w:history="1">
        <w:r w:rsidRPr="00DB4D8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53" w:history="1">
        <w:r w:rsidRPr="00DB4D8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54" w:history="1">
        <w:r w:rsidRPr="00DB4D8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Incluir Parâmetro de Reversão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55" w:history="1">
        <w:r w:rsidRPr="00DB4D8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56" w:history="1">
        <w:r w:rsidRPr="00DB4D8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1.1.2. Fluxo Alternativo – associar carreira/item de carreira aplicável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57" w:history="1">
        <w:r w:rsidRPr="00DB4D8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Alterar Parâmetro de Reversão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58" w:history="1">
        <w:r w:rsidRPr="00DB4D8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Fluxo Básico – Retificar última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59" w:history="1">
        <w:r w:rsidRPr="00DB4D80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1.2.2. Fluxo alternativo  – Criar uma nova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60" w:history="1">
        <w:r w:rsidRPr="00DB4D80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1.2.3. Fluxo Alternativo – associar carreira/item de carreira aplicável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61" w:history="1">
        <w:r w:rsidRPr="00DB4D8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Excluir Parâmetro de Reversão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62" w:history="1">
        <w:r w:rsidRPr="00DB4D8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63" w:history="1">
        <w:r w:rsidRPr="00DB4D8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Anular Parâmetro de Reversão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64" w:history="1">
        <w:r w:rsidRPr="00DB4D80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65" w:history="1">
        <w:r w:rsidRPr="00DB4D80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Listar Parâmetro de Reversão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66" w:history="1">
        <w:r w:rsidRPr="00DB4D80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67" w:history="1">
        <w:r w:rsidRPr="00DB4D8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68" w:history="1">
        <w:r w:rsidRPr="00DB4D80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69" w:history="1">
        <w:r w:rsidRPr="00DB4D80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RN01: Verificar existência de parâmetro de reversão no agrupamento com o mesmo motivo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70" w:history="1">
        <w:r w:rsidRPr="00DB4D80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RN02: Verificar duplicidade de carreira/item de carreira associadas como aplicáveis/não aplicacáveis.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71" w:history="1">
        <w:r w:rsidRPr="00DB4D80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RN03: Verificar existência de registro de reversão nova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72" w:history="1">
        <w:r w:rsidRPr="00DB4D80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RN04: Verificar existência de registro de reversão na retificação da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73" w:history="1">
        <w:r w:rsidRPr="00DB4D80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RN05: Verificar existência de registro de reversão para excluir 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74" w:history="1">
        <w:r w:rsidRPr="00DB4D80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RN06: Verificar existência de registro de reversão para finalizar 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75" w:history="1">
        <w:r w:rsidRPr="00DB4D80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RN07: Verificar existência de registro de conversão para anular 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960DC" w:rsidRDefault="00D960D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76" w:history="1">
        <w:r w:rsidRPr="00DB4D80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4D80">
          <w:rPr>
            <w:rStyle w:val="Hyperlink"/>
            <w:noProof/>
          </w:rPr>
          <w:t>RN08: Verificar regras de vigência conforme a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3534F" w:rsidRPr="00014613" w:rsidRDefault="00B3534F" w:rsidP="00B3534F">
      <w:pPr>
        <w:pStyle w:val="Sumrio1"/>
      </w:pPr>
      <w:r w:rsidRPr="00014613">
        <w:fldChar w:fldCharType="end"/>
      </w:r>
    </w:p>
    <w:p w:rsidR="00B3534F" w:rsidRPr="00014613" w:rsidRDefault="00B3534F" w:rsidP="00B3534F">
      <w:pPr>
        <w:widowControl w:val="0"/>
        <w:rPr>
          <w:rFonts w:cs="Arial"/>
          <w:b/>
          <w:bCs/>
          <w:color w:val="000000"/>
        </w:rPr>
      </w:pPr>
    </w:p>
    <w:p w:rsidR="00B3534F" w:rsidRPr="00014613" w:rsidRDefault="00B3534F" w:rsidP="00B3534F">
      <w:pPr>
        <w:pStyle w:val="Heading"/>
        <w:rPr>
          <w:rFonts w:cs="Arial"/>
          <w:szCs w:val="24"/>
          <w:lang w:val="pt-BR"/>
        </w:rPr>
      </w:pPr>
    </w:p>
    <w:p w:rsidR="00B3534F" w:rsidRPr="00014613" w:rsidRDefault="00B3534F" w:rsidP="00B3534F">
      <w:pPr>
        <w:pStyle w:val="Heading"/>
      </w:pPr>
    </w:p>
    <w:p w:rsidR="00B3534F" w:rsidRPr="00014613" w:rsidRDefault="00B3534F" w:rsidP="00B3534F">
      <w:pPr>
        <w:pStyle w:val="Heading"/>
        <w:jc w:val="center"/>
      </w:pPr>
    </w:p>
    <w:p w:rsidR="00B3534F" w:rsidRPr="00014613" w:rsidRDefault="00B3534F" w:rsidP="00B3534F">
      <w:pPr>
        <w:pStyle w:val="Heading"/>
        <w:rPr>
          <w:rFonts w:cs="Arial"/>
          <w:szCs w:val="24"/>
          <w:lang w:val="pt-BR"/>
        </w:rPr>
      </w:pPr>
      <w:r w:rsidRPr="00014613">
        <w:br w:type="page"/>
      </w:r>
    </w:p>
    <w:p w:rsidR="00B3534F" w:rsidRPr="00014613" w:rsidRDefault="00B3534F" w:rsidP="00B3534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4772746"/>
      <w:r w:rsidRPr="00014613">
        <w:lastRenderedPageBreak/>
        <w:t>Pacote/Caso de Uso</w:t>
      </w:r>
      <w:bookmarkEnd w:id="1"/>
    </w:p>
    <w:p w:rsidR="00B3534F" w:rsidRPr="00014613" w:rsidRDefault="00B3534F" w:rsidP="00B3534F"/>
    <w:p w:rsidR="00B3534F" w:rsidRPr="00014613" w:rsidRDefault="00B3534F" w:rsidP="00B3534F">
      <w:pPr>
        <w:widowControl w:val="0"/>
        <w:ind w:left="360"/>
        <w:rPr>
          <w:rFonts w:cs="Arial"/>
          <w:b/>
          <w:bCs/>
          <w:color w:val="000080"/>
          <w:sz w:val="28"/>
        </w:rPr>
      </w:pPr>
      <w:r w:rsidRPr="00014613">
        <w:rPr>
          <w:rFonts w:cs="Arial"/>
          <w:b/>
          <w:bCs/>
          <w:color w:val="000080"/>
          <w:sz w:val="28"/>
        </w:rPr>
        <w:t>Definir Parâmetros de Reversão</w:t>
      </w:r>
    </w:p>
    <w:p w:rsidR="00B3534F" w:rsidRPr="00014613" w:rsidRDefault="00B3534F" w:rsidP="00D960DC">
      <w:pPr>
        <w:pStyle w:val="Ttulo2"/>
      </w:pPr>
      <w:bookmarkStart w:id="2" w:name="_Toc404772747"/>
      <w:r w:rsidRPr="00014613">
        <w:t>Descrição</w:t>
      </w:r>
      <w:bookmarkEnd w:id="2"/>
    </w:p>
    <w:p w:rsidR="00B3534F" w:rsidRPr="00014613" w:rsidRDefault="00B3534F" w:rsidP="00B3534F">
      <w:pPr>
        <w:pStyle w:val="Recuodecorpodetexto2"/>
        <w:widowControl w:val="0"/>
        <w:ind w:left="1260" w:firstLine="0"/>
        <w:rPr>
          <w:sz w:val="24"/>
        </w:rPr>
      </w:pPr>
      <w:r w:rsidRPr="00014613">
        <w:rPr>
          <w:sz w:val="24"/>
        </w:rPr>
        <w:t>Pacote responsável por agrupar os casos de uso de definição dos parâmetros de reversão.</w:t>
      </w:r>
    </w:p>
    <w:p w:rsidR="00B3534F" w:rsidRPr="00014613" w:rsidRDefault="00B3534F" w:rsidP="00B3534F">
      <w:pPr>
        <w:pStyle w:val="Recuodecorpodetexto2"/>
        <w:widowControl w:val="0"/>
        <w:ind w:left="1620" w:firstLine="0"/>
        <w:rPr>
          <w:sz w:val="24"/>
        </w:rPr>
      </w:pPr>
    </w:p>
    <w:p w:rsidR="00B3534F" w:rsidRPr="00014613" w:rsidRDefault="00B3534F" w:rsidP="00D960DC">
      <w:pPr>
        <w:pStyle w:val="Ttulo2"/>
      </w:pPr>
      <w:bookmarkStart w:id="3" w:name="_Toc404772748"/>
      <w:r w:rsidRPr="00014613">
        <w:t>Requisitos atendidos</w:t>
      </w:r>
      <w:bookmarkEnd w:id="3"/>
    </w:p>
    <w:p w:rsidR="00B3534F" w:rsidRPr="00014613" w:rsidRDefault="00B3534F" w:rsidP="00B3534F">
      <w:pPr>
        <w:pStyle w:val="Recuodecorpodetexto"/>
        <w:ind w:left="1260"/>
      </w:pPr>
      <w:r w:rsidRPr="00014613">
        <w:t>R23 – Manter Parâmetros de Reversão</w:t>
      </w:r>
    </w:p>
    <w:p w:rsidR="00B3534F" w:rsidRPr="00014613" w:rsidRDefault="00B3534F" w:rsidP="00B3534F"/>
    <w:p w:rsidR="00B3534F" w:rsidRPr="00014613" w:rsidRDefault="00B3534F" w:rsidP="00B3534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4" w:name="_Toc404772749"/>
      <w:r w:rsidRPr="00014613">
        <w:t>Conceito</w:t>
      </w:r>
      <w:bookmarkEnd w:id="4"/>
      <w:r w:rsidRPr="00014613">
        <w:tab/>
      </w:r>
    </w:p>
    <w:p w:rsidR="00B3534F" w:rsidRPr="00014613" w:rsidRDefault="00B3534F" w:rsidP="00D960DC">
      <w:pPr>
        <w:pStyle w:val="Ttulo2"/>
      </w:pPr>
      <w:bookmarkStart w:id="5" w:name="_Toc144812032"/>
      <w:bookmarkStart w:id="6" w:name="_Toc404772750"/>
      <w:r w:rsidRPr="00014613">
        <w:t>Conceitos principais</w:t>
      </w:r>
      <w:bookmarkEnd w:id="5"/>
      <w:bookmarkEnd w:id="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3534F" w:rsidRPr="00014613" w:rsidTr="00D960DC">
        <w:trPr>
          <w:trHeight w:val="600"/>
        </w:trPr>
        <w:tc>
          <w:tcPr>
            <w:tcW w:w="2338" w:type="dxa"/>
          </w:tcPr>
          <w:p w:rsidR="00B3534F" w:rsidRPr="00014613" w:rsidRDefault="00B3534F" w:rsidP="00B3534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014613">
              <w:rPr>
                <w:rFonts w:cs="Arial"/>
                <w:b/>
              </w:rPr>
              <w:t>Modelos de aposentadorias</w:t>
            </w:r>
          </w:p>
        </w:tc>
        <w:tc>
          <w:tcPr>
            <w:tcW w:w="6732" w:type="dxa"/>
          </w:tcPr>
          <w:p w:rsidR="00B3534F" w:rsidRPr="00014613" w:rsidRDefault="00B3534F" w:rsidP="00D960DC">
            <w:pPr>
              <w:pStyle w:val="Cabealho"/>
              <w:ind w:left="0"/>
              <w:rPr>
                <w:rFonts w:cs="Arial"/>
              </w:rPr>
            </w:pPr>
            <w:r w:rsidRPr="00014613">
              <w:rPr>
                <w:rFonts w:cs="Arial"/>
              </w:rPr>
              <w:t>Relação dos modelos de aposentadoria em que o servidor pode se aposentar.</w:t>
            </w:r>
          </w:p>
        </w:tc>
      </w:tr>
    </w:tbl>
    <w:p w:rsidR="00B3534F" w:rsidRPr="00014613" w:rsidRDefault="00B3534F" w:rsidP="00B3534F">
      <w:pPr>
        <w:rPr>
          <w:rFonts w:cs="Arial"/>
        </w:rPr>
      </w:pPr>
    </w:p>
    <w:p w:rsidR="00B3534F" w:rsidRPr="00014613" w:rsidRDefault="00B3534F" w:rsidP="00D960DC">
      <w:pPr>
        <w:pStyle w:val="Ttulo2"/>
      </w:pPr>
      <w:bookmarkStart w:id="7" w:name="_Toc144812033"/>
      <w:bookmarkStart w:id="8" w:name="_Toc404772751"/>
      <w:r w:rsidRPr="00014613">
        <w:t>Conceitos associados</w:t>
      </w:r>
      <w:bookmarkEnd w:id="7"/>
      <w:bookmarkEnd w:id="8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3534F" w:rsidRPr="00014613" w:rsidTr="00D960DC">
        <w:trPr>
          <w:trHeight w:val="600"/>
        </w:trPr>
        <w:tc>
          <w:tcPr>
            <w:tcW w:w="2338" w:type="dxa"/>
          </w:tcPr>
          <w:p w:rsidR="00B3534F" w:rsidRPr="00014613" w:rsidRDefault="00B3534F" w:rsidP="00B3534F">
            <w:pPr>
              <w:ind w:left="0"/>
              <w:jc w:val="left"/>
              <w:rPr>
                <w:rFonts w:eastAsia="Arial Unicode MS"/>
                <w:b/>
              </w:rPr>
            </w:pPr>
            <w:r w:rsidRPr="00014613">
              <w:rPr>
                <w:rFonts w:eastAsia="Arial Unicode MS"/>
                <w:b/>
              </w:rPr>
              <w:t>Modalidades de aposentadorias</w:t>
            </w:r>
          </w:p>
        </w:tc>
        <w:tc>
          <w:tcPr>
            <w:tcW w:w="6732" w:type="dxa"/>
          </w:tcPr>
          <w:p w:rsidR="00B3534F" w:rsidRPr="00014613" w:rsidRDefault="00B3534F" w:rsidP="00D960DC">
            <w:pPr>
              <w:ind w:left="0"/>
              <w:rPr>
                <w:rFonts w:eastAsia="Arial Unicode MS"/>
              </w:rPr>
            </w:pPr>
            <w:r w:rsidRPr="00014613">
              <w:rPr>
                <w:rFonts w:eastAsia="Arial Unicode MS"/>
              </w:rPr>
              <w:t>Relação das modalidades que amparam as aposentadorias.</w:t>
            </w:r>
          </w:p>
        </w:tc>
      </w:tr>
      <w:tr w:rsidR="00B3534F" w:rsidRPr="00014613" w:rsidTr="00D960DC">
        <w:trPr>
          <w:trHeight w:val="600"/>
        </w:trPr>
        <w:tc>
          <w:tcPr>
            <w:tcW w:w="2338" w:type="dxa"/>
          </w:tcPr>
          <w:p w:rsidR="00B3534F" w:rsidRPr="00014613" w:rsidRDefault="00B3534F" w:rsidP="00B3534F">
            <w:pPr>
              <w:ind w:left="0"/>
              <w:jc w:val="left"/>
              <w:rPr>
                <w:rFonts w:eastAsia="Arial Unicode MS"/>
                <w:b/>
              </w:rPr>
            </w:pPr>
            <w:r w:rsidRPr="00014613">
              <w:rPr>
                <w:rFonts w:eastAsia="Arial Unicode MS"/>
                <w:b/>
              </w:rPr>
              <w:t>Tipos de aposentadorias</w:t>
            </w:r>
          </w:p>
        </w:tc>
        <w:tc>
          <w:tcPr>
            <w:tcW w:w="6732" w:type="dxa"/>
          </w:tcPr>
          <w:p w:rsidR="00B3534F" w:rsidRPr="00014613" w:rsidRDefault="00B3534F" w:rsidP="00D960DC">
            <w:pPr>
              <w:ind w:left="0"/>
              <w:rPr>
                <w:rFonts w:eastAsia="Arial Unicode MS"/>
              </w:rPr>
            </w:pPr>
            <w:r w:rsidRPr="00014613">
              <w:rPr>
                <w:rFonts w:eastAsia="Arial Unicode MS"/>
              </w:rPr>
              <w:t>Relação dos tipos que amparam as aposentadorias.</w:t>
            </w:r>
          </w:p>
        </w:tc>
      </w:tr>
      <w:tr w:rsidR="00B3534F" w:rsidRPr="00014613" w:rsidTr="00D960DC">
        <w:trPr>
          <w:trHeight w:val="600"/>
        </w:trPr>
        <w:tc>
          <w:tcPr>
            <w:tcW w:w="2338" w:type="dxa"/>
          </w:tcPr>
          <w:p w:rsidR="00B3534F" w:rsidRPr="00014613" w:rsidRDefault="00B3534F" w:rsidP="00B3534F">
            <w:pPr>
              <w:ind w:left="0"/>
              <w:jc w:val="left"/>
              <w:rPr>
                <w:rFonts w:eastAsia="Arial Unicode MS"/>
                <w:b/>
              </w:rPr>
            </w:pPr>
            <w:r w:rsidRPr="00014613">
              <w:rPr>
                <w:rFonts w:eastAsia="Arial Unicode MS"/>
                <w:b/>
              </w:rPr>
              <w:t>Fundamentações legais de aposentadorias</w:t>
            </w:r>
          </w:p>
        </w:tc>
        <w:tc>
          <w:tcPr>
            <w:tcW w:w="6732" w:type="dxa"/>
          </w:tcPr>
          <w:p w:rsidR="00B3534F" w:rsidRPr="00014613" w:rsidRDefault="00B3534F" w:rsidP="00D960DC">
            <w:pPr>
              <w:ind w:left="0"/>
              <w:rPr>
                <w:rFonts w:eastAsia="Arial Unicode MS"/>
              </w:rPr>
            </w:pPr>
            <w:r w:rsidRPr="00014613">
              <w:rPr>
                <w:rFonts w:eastAsia="Arial Unicode MS"/>
              </w:rPr>
              <w:t>Relação das fundamentações legais que amparam as aposentadorias.</w:t>
            </w:r>
          </w:p>
        </w:tc>
      </w:tr>
      <w:tr w:rsidR="00B3534F" w:rsidRPr="00014613" w:rsidTr="00D960DC">
        <w:trPr>
          <w:trHeight w:val="600"/>
        </w:trPr>
        <w:tc>
          <w:tcPr>
            <w:tcW w:w="2338" w:type="dxa"/>
          </w:tcPr>
          <w:p w:rsidR="00B3534F" w:rsidRPr="00014613" w:rsidRDefault="00B3534F" w:rsidP="00B3534F">
            <w:pPr>
              <w:ind w:left="0"/>
              <w:jc w:val="left"/>
              <w:rPr>
                <w:rFonts w:eastAsia="Arial Unicode MS"/>
                <w:b/>
              </w:rPr>
            </w:pPr>
            <w:r w:rsidRPr="00014613">
              <w:rPr>
                <w:rFonts w:eastAsia="Arial Unicode MS"/>
                <w:b/>
              </w:rPr>
              <w:t>Modelos de averbações</w:t>
            </w:r>
          </w:p>
        </w:tc>
        <w:tc>
          <w:tcPr>
            <w:tcW w:w="6732" w:type="dxa"/>
          </w:tcPr>
          <w:p w:rsidR="00B3534F" w:rsidRPr="00014613" w:rsidRDefault="00B3534F" w:rsidP="00D960DC">
            <w:pPr>
              <w:ind w:left="0"/>
              <w:rPr>
                <w:rFonts w:eastAsia="Arial Unicode MS"/>
              </w:rPr>
            </w:pPr>
            <w:r w:rsidRPr="00014613">
              <w:rPr>
                <w:rFonts w:eastAsia="Arial Unicode MS"/>
              </w:rPr>
              <w:t>Relação dos diversos tipos de averbações de tempos de serviço.</w:t>
            </w:r>
          </w:p>
        </w:tc>
      </w:tr>
    </w:tbl>
    <w:p w:rsidR="00B3534F" w:rsidRPr="00014613" w:rsidRDefault="00B3534F" w:rsidP="00B3534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014613">
        <w:rPr>
          <w:bCs w:val="0"/>
        </w:rPr>
        <w:br w:type="page"/>
      </w:r>
      <w:bookmarkStart w:id="9" w:name="_Toc404772752"/>
      <w:r w:rsidRPr="00014613">
        <w:lastRenderedPageBreak/>
        <w:t>Diagrama</w:t>
      </w:r>
      <w:bookmarkEnd w:id="9"/>
    </w:p>
    <w:p w:rsidR="00B3534F" w:rsidRPr="00014613" w:rsidRDefault="00B3534F" w:rsidP="00B3534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3534F" w:rsidRPr="00014613" w:rsidRDefault="00D960DC" w:rsidP="00D960D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62A19DD3" wp14:editId="6D308815">
            <wp:extent cx="5400675" cy="26193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34F" w:rsidRPr="00014613" w:rsidRDefault="00B3534F" w:rsidP="00B3534F">
      <w:pPr>
        <w:widowControl w:val="0"/>
        <w:jc w:val="center"/>
        <w:rPr>
          <w:rFonts w:cs="Arial"/>
        </w:rPr>
      </w:pPr>
    </w:p>
    <w:p w:rsidR="00B3534F" w:rsidRPr="00014613" w:rsidRDefault="00B3534F" w:rsidP="00B3534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014613">
        <w:rPr>
          <w:bCs w:val="0"/>
        </w:rPr>
        <w:br w:type="page"/>
      </w:r>
      <w:bookmarkStart w:id="10" w:name="_Toc404772753"/>
      <w:r w:rsidRPr="00014613">
        <w:lastRenderedPageBreak/>
        <w:t>Casos de Uso</w:t>
      </w:r>
      <w:bookmarkEnd w:id="10"/>
    </w:p>
    <w:p w:rsidR="00B3534F" w:rsidRPr="00014613" w:rsidRDefault="00B3534F" w:rsidP="00D960DC">
      <w:pPr>
        <w:pStyle w:val="Ttulo2"/>
      </w:pPr>
      <w:bookmarkStart w:id="11" w:name="_Toc404772754"/>
      <w:r w:rsidRPr="00014613">
        <w:t>Incluir Parâmetro de Reversão de Aposentadoria</w:t>
      </w:r>
      <w:bookmarkEnd w:id="11"/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12" w:name="_Toc404772755"/>
      <w:r w:rsidRPr="00014613">
        <w:t>Fluxo Básico</w:t>
      </w:r>
      <w:bookmarkEnd w:id="12"/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2340"/>
        </w:tabs>
        <w:spacing w:line="240" w:lineRule="auto"/>
        <w:ind w:left="2340" w:hanging="1084"/>
      </w:pPr>
      <w:r w:rsidRPr="00014613">
        <w:t xml:space="preserve">O ator solicita a funcionalidade “Incluir parâmetros da reversão”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apresenta o formulário dos parâmetros da reversão.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 xml:space="preserve">O ator escolhe o motivo da reversão.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ator define os modelos de aposentadoria não aplicáveis à reversão.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 xml:space="preserve">O ator define quais carreiras e itens de carreiras são aplicáveis à reversão de aposentadoria, podendo indicar o tempo limite de aposentadoria para homem e mulher, o tempo exigido para homem e mulher e o tempo de carência exigido para se aposentar novamente.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 xml:space="preserve">O ator define as carreiras e itens de carreiras que são aplicáveis aos parâmetros de reversão.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ator informa os demais parâmetros e submete a operação: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executa as regras de negócios: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 </w:t>
      </w:r>
      <w:r w:rsidRPr="00014613">
        <w:noBreakHyphen/>
        <w:t> RN01: Verificar existência de parâmetro de reversão no agrupamento com o mesmo motivo.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processa a operação e exibe a mensagem MSG0050 ("Inclusão efetuada com sucesso!").</w:t>
      </w:r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13" w:name="_Toc404772756"/>
      <w:r w:rsidRPr="00014613">
        <w:t>1.1.2.</w:t>
      </w:r>
      <w:r w:rsidRPr="00014613">
        <w:tab/>
        <w:t>Fluxo Alternativo – associar carreira/item de carreira aplicável</w:t>
      </w:r>
      <w:bookmarkEnd w:id="13"/>
      <w:r w:rsidRPr="00014613">
        <w:t xml:space="preserve">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2340"/>
        </w:tabs>
        <w:spacing w:line="240" w:lineRule="auto"/>
        <w:ind w:left="2340" w:hanging="1084"/>
      </w:pPr>
      <w:r w:rsidRPr="00014613">
        <w:t xml:space="preserve">O ator escolhe uma carreira e item de carreira e seleciona adiciona ao às informações de carreiras/itens de carreiras aplicáveis ao motivo.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executa a regra de negócio: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RN02: Verificar duplicidade de carreira/item de carreira associadas como aplicáveis/não aplicáveis.</w:t>
      </w:r>
    </w:p>
    <w:p w:rsidR="00B3534F" w:rsidRPr="00014613" w:rsidRDefault="00B3534F" w:rsidP="00D960DC">
      <w:pPr>
        <w:pStyle w:val="Ttulo2"/>
      </w:pPr>
      <w:bookmarkStart w:id="14" w:name="_Toc404772757"/>
      <w:r w:rsidRPr="00014613">
        <w:t>Alterar Parâmetro de Reversão de Aposentadoria</w:t>
      </w:r>
      <w:bookmarkEnd w:id="14"/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15" w:name="_Toc404772758"/>
      <w:r w:rsidRPr="00014613">
        <w:t>Fluxo Básico – Retificar última alteração</w:t>
      </w:r>
      <w:bookmarkEnd w:id="15"/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2340"/>
        </w:tabs>
        <w:spacing w:line="240" w:lineRule="auto"/>
        <w:ind w:left="2340" w:hanging="1084"/>
      </w:pPr>
      <w:r w:rsidRPr="00014613">
        <w:t xml:space="preserve">O ator executa o caso de uso Listar Parâmetro de Reversão de Aposentadoria, identifica um registro e seleciona a opção de alteração.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 xml:space="preserve">O sistema apresenta as informações do parâmetro de reversão identificado pelo ator.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ator altera as informações do parâmetro da reversão, seleciona a opção retificar última vigência e submete a operação.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executa as regras de negócios: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 </w:t>
      </w:r>
      <w:r w:rsidRPr="00014613">
        <w:noBreakHyphen/>
        <w:t> RN08: Verificar regras de vigência conforme a operação.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noBreakHyphen/>
        <w:t xml:space="preserve"> RN04: Verificar existência de registro de reversão de </w:t>
      </w:r>
      <w:r w:rsidRPr="00014613">
        <w:lastRenderedPageBreak/>
        <w:t>aposentadoria na retificação da vigência.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atualiza a data final da vigência anterior ativa com base na nova data inicial da vigência corrente ativa.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atualiza o histórico de reversão de aposentadoria a partir da nova vigência recebida.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processa a operação e exibe a mensagem MSG0051 ("Alteração efetuada com sucesso!").</w:t>
      </w:r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16" w:name="_Toc404772759"/>
      <w:r w:rsidRPr="00014613">
        <w:t>1.2.2.</w:t>
      </w:r>
      <w:r w:rsidRPr="00014613">
        <w:tab/>
        <w:t>Fluxo alternativo  – Criar uma nova vigência</w:t>
      </w:r>
      <w:bookmarkEnd w:id="16"/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2340"/>
        </w:tabs>
        <w:spacing w:line="240" w:lineRule="auto"/>
        <w:ind w:left="2340" w:hanging="1084"/>
      </w:pPr>
      <w:r w:rsidRPr="00014613">
        <w:t xml:space="preserve">O ator executa o caso de uso Listar Parâmetros de Reversão de Aposentadoria, identifica um registro e seleciona a opção de alteração.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 xml:space="preserve">O sistema apresenta as informações do parâmetro de reversão de aposentadoria identificado pelo ator.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ator altera as informações do parâmetro de reversão, seleciona a opção criar nova vigência e submete a operação.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executa as regras de negócios: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 </w:t>
      </w:r>
      <w:r w:rsidRPr="00014613">
        <w:noBreakHyphen/>
        <w:t> RN08: Verificar regras de vigência conforme a operação.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 </w:t>
      </w:r>
      <w:r w:rsidRPr="00014613">
        <w:noBreakHyphen/>
        <w:t> RN03: Verificar existência de registro de reversão nova vigência.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atualiza a data final da vigência anterior ativa com base na nova data inicial da vigência corrente ativa, caso esta vigência seja continuação da vigência anterior.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inclui um novo histórico de parâmetro de reversão de aposentadoria a partir da data inicial de vigência recebida.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processa a operação e exibe a mensagem MSG0051 ("Alteração efetuada com sucesso!").</w:t>
      </w:r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17" w:name="_Toc404772760"/>
      <w:r w:rsidRPr="00014613">
        <w:t>1.2.3.</w:t>
      </w:r>
      <w:r w:rsidRPr="00014613">
        <w:tab/>
        <w:t>Fluxo Alternativo – associar carreira/item de carreira aplicável</w:t>
      </w:r>
      <w:bookmarkEnd w:id="17"/>
      <w:r w:rsidRPr="00014613">
        <w:t xml:space="preserve">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2340"/>
        </w:tabs>
        <w:spacing w:line="240" w:lineRule="auto"/>
        <w:ind w:left="2340" w:hanging="1084"/>
      </w:pPr>
      <w:r w:rsidRPr="00014613">
        <w:t xml:space="preserve">O ator escolhe uma carreira e item de carreira e seleciona adiciona ao às informações de carreiras/itens de carreiras aplicáveis ao motivo.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executa a regra de negócio: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 </w:t>
      </w:r>
      <w:r w:rsidRPr="00014613">
        <w:noBreakHyphen/>
        <w:t> RN02: Verificar duplicidade de carreira/item de carreira associadas como aplicáveis/não aplicáveis.</w:t>
      </w:r>
    </w:p>
    <w:p w:rsidR="00B3534F" w:rsidRPr="00014613" w:rsidRDefault="00D960DC" w:rsidP="00D960DC">
      <w:pPr>
        <w:pStyle w:val="Ttulo2"/>
      </w:pPr>
      <w:bookmarkStart w:id="18" w:name="_Toc404772761"/>
      <w:r>
        <w:t xml:space="preserve">Excluir </w:t>
      </w:r>
      <w:r w:rsidR="00B3534F" w:rsidRPr="00014613">
        <w:t>Parâmetro de Reversão de Aposentadoria</w:t>
      </w:r>
      <w:bookmarkEnd w:id="18"/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19" w:name="_Toc404772762"/>
      <w:r w:rsidRPr="00014613">
        <w:t>Fluxo Básico</w:t>
      </w:r>
      <w:bookmarkEnd w:id="19"/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2340"/>
        </w:tabs>
        <w:spacing w:line="240" w:lineRule="auto"/>
        <w:ind w:left="2340" w:hanging="1084"/>
      </w:pPr>
      <w:r w:rsidRPr="00014613">
        <w:t xml:space="preserve">O ator executa o caso de uso Listar Parâmetros de Reversão de Aposentadoria, identifica um registro e seleciona a opção de excluir.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executa as regras de negócios: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 </w:t>
      </w:r>
      <w:r w:rsidRPr="00014613">
        <w:noBreakHyphen/>
        <w:t> RN08: Verificar regras de vigência conforme a operação.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noBreakHyphen/>
        <w:t> RN05: Verificar existência de registro de reversão de aposentadoria para excluir a vigência.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exclui o histórico de reversão de aposentadoria.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 xml:space="preserve">O sistema exclui a data final da vigência anterior ativa, caso a </w:t>
      </w:r>
      <w:r w:rsidRPr="00014613">
        <w:lastRenderedPageBreak/>
        <w:t xml:space="preserve">vigência atual seja continuação da anterior.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processa a operação e exibe a mensagem MSG0052 ("Exclusão efetuada com sucesso!").</w:t>
      </w:r>
    </w:p>
    <w:p w:rsidR="00B3534F" w:rsidRPr="00014613" w:rsidRDefault="00B3534F" w:rsidP="00D960DC">
      <w:pPr>
        <w:pStyle w:val="Ttulo2"/>
      </w:pPr>
      <w:bookmarkStart w:id="20" w:name="_Toc404772763"/>
      <w:r w:rsidRPr="00014613">
        <w:t>Anular Parâmetro de Reversão de Aposentadoria</w:t>
      </w:r>
      <w:bookmarkEnd w:id="20"/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21" w:name="_Toc404772764"/>
      <w:r w:rsidRPr="00014613">
        <w:t>Fluxo Básico - Anular</w:t>
      </w:r>
      <w:bookmarkEnd w:id="21"/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2340"/>
        </w:tabs>
        <w:spacing w:line="240" w:lineRule="auto"/>
        <w:ind w:left="2340" w:hanging="1084"/>
      </w:pPr>
      <w:r w:rsidRPr="00014613">
        <w:t xml:space="preserve">O ator executa o caso de uso Listar Parâmetros de Reversão de Aposentadoria, identifica um registro e seleciona a opção de anular.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executa as regras de negócios: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 </w:t>
      </w:r>
      <w:r w:rsidRPr="00014613">
        <w:noBreakHyphen/>
        <w:t> RN08: Verificar regras de vigência conforme a operação.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 </w:t>
      </w:r>
      <w:r w:rsidRPr="00014613">
        <w:noBreakHyphen/>
        <w:t> RN07: Verificar existência de registro de reversão de aposentadoria para anular a vigência.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 xml:space="preserve">O sistema anula histórico de parâmetros de reversão identificado.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exclui a data final da vigência anterior ativa, caso esta vigência seja continuação da anterior.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processa a operação e exibe a mensagem MSG0007 ("Anulação efetuada com sucesso!").</w:t>
      </w:r>
    </w:p>
    <w:p w:rsidR="00B3534F" w:rsidRPr="00014613" w:rsidRDefault="00D960DC" w:rsidP="00D960DC">
      <w:pPr>
        <w:pStyle w:val="Ttulo2"/>
      </w:pPr>
      <w:bookmarkStart w:id="22" w:name="_Toc404772765"/>
      <w:r>
        <w:t xml:space="preserve">Listar </w:t>
      </w:r>
      <w:r w:rsidR="00B3534F" w:rsidRPr="00014613">
        <w:t>Parâmetro de Reversão de Aposentadoria</w:t>
      </w:r>
      <w:bookmarkEnd w:id="22"/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23" w:name="_Toc404772766"/>
      <w:r w:rsidRPr="00014613">
        <w:t>Fluxo Básico</w:t>
      </w:r>
      <w:bookmarkEnd w:id="23"/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2340"/>
        </w:tabs>
        <w:spacing w:line="240" w:lineRule="auto"/>
        <w:ind w:left="2340" w:hanging="1084"/>
      </w:pPr>
      <w:r w:rsidRPr="00014613">
        <w:t>O ator solicita a funcionalidade de manutenção de parâmetros de reversão de aposentadoria.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 xml:space="preserve">O sistema exibe os filtros de pesquisa. 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ator informa os dados necessários e submete a operação.</w:t>
      </w:r>
    </w:p>
    <w:p w:rsidR="00B3534F" w:rsidRPr="00014613" w:rsidRDefault="00B3534F" w:rsidP="00B3534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340" w:hanging="1084"/>
      </w:pPr>
      <w:r w:rsidRPr="00014613">
        <w:t>O sistema exibe uma lista de parâmetros de reversão de aposentadoria de acordo com os filtros informados, ordenados pela data de início de vigência e motivo da reversão.</w:t>
      </w:r>
    </w:p>
    <w:p w:rsidR="00B3534F" w:rsidRPr="00014613" w:rsidRDefault="00B3534F" w:rsidP="00B3534F">
      <w:pPr>
        <w:pStyle w:val="Ttulo4"/>
        <w:numPr>
          <w:ilvl w:val="0"/>
          <w:numId w:val="0"/>
        </w:numPr>
        <w:ind w:left="1728" w:hanging="648"/>
      </w:pPr>
    </w:p>
    <w:p w:rsidR="00B3534F" w:rsidRPr="00014613" w:rsidRDefault="00B3534F" w:rsidP="00B3534F">
      <w:pPr>
        <w:pStyle w:val="Ttulo4"/>
        <w:numPr>
          <w:ilvl w:val="0"/>
          <w:numId w:val="0"/>
        </w:numPr>
        <w:ind w:left="1728" w:hanging="648"/>
      </w:pPr>
      <w:r w:rsidRPr="00014613">
        <w:br w:type="page"/>
      </w:r>
    </w:p>
    <w:p w:rsidR="00B3534F" w:rsidRPr="00014613" w:rsidRDefault="00B3534F" w:rsidP="00B3534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4" w:name="_Toc404772767"/>
      <w:r w:rsidRPr="00014613">
        <w:lastRenderedPageBreak/>
        <w:t>Anexos</w:t>
      </w:r>
      <w:bookmarkEnd w:id="24"/>
    </w:p>
    <w:p w:rsidR="00B3534F" w:rsidRPr="00014613" w:rsidRDefault="00B3534F" w:rsidP="00D960DC">
      <w:pPr>
        <w:pStyle w:val="Ttulo2"/>
      </w:pPr>
      <w:bookmarkStart w:id="25" w:name="_Toc404772768"/>
      <w:r w:rsidRPr="00014613">
        <w:t>Regras de Negócios</w:t>
      </w:r>
      <w:bookmarkEnd w:id="25"/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26" w:name="_Toc404772769"/>
      <w:r w:rsidRPr="00014613">
        <w:t>RN01: Verificar existência de parâmetro de reversão no agrupamento com o mesmo motivo</w:t>
      </w:r>
      <w:bookmarkEnd w:id="26"/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>Tentativa incluir um parâmetro de reversão de aposentadoria que já está existe no agrupamento com o mesmo motivo de reversão, o sistema levanta exceção com a mensagem MSG0022 ("Já existe registro cadastrado com este(a) &lt;nome_do_campo&gt;.")</w:t>
      </w:r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27" w:name="_Toc404772770"/>
      <w:r w:rsidRPr="00014613">
        <w:t>RN02: Verificar duplicidade de carreira/item de carreira associadas como aplicáveis/não aplicacáveis.</w:t>
      </w:r>
      <w:bookmarkEnd w:id="27"/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 xml:space="preserve">O sistema identifica que o ator associou a mesma Carreira/Item de carreira as informações de carreiras/itens de carreiras aplicáveis e carreiras/itens de carreiras não aplicáveis, então levanta exceção com a mensagem MSG0802 ("&lt;Conceito&gt; não pode estar relacionado na lista de 'aplicáveis' e 'não aplicáveis' simultaneamente"); Exemplo: A carreira não pode estar relacionado(a) na lista de 'aplicáveis' e 'não aplicáveis' simultaneamente; O item de carreira não pode estar relacionado(a) na lista de 'aplicáveis' e 'não aplicáveis' simultaneamente; </w:t>
      </w:r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28" w:name="_Toc404772771"/>
      <w:r w:rsidRPr="00014613">
        <w:t>RN03: Verificar existência de registro de reversão nova vigência</w:t>
      </w:r>
      <w:bookmarkEnd w:id="28"/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 xml:space="preserve">O sistema identifica que existe(m) histórico(s) de reversões  dentro do novo período considerado, então levanta exceção com a mensagem MSG2574: "Não é permitido &lt;operação&gt; o parâmetro de reversão, pois existe uma ou mais reversões de aposentadoria &lt;complemento&gt;."; Exemplo: Não é permitido </w:t>
      </w:r>
      <w:r w:rsidRPr="00014613">
        <w:rPr>
          <w:rStyle w:val="Forte"/>
          <w:rFonts w:cs="Arial"/>
        </w:rPr>
        <w:t xml:space="preserve">alterar </w:t>
      </w:r>
      <w:r w:rsidRPr="00014613">
        <w:rPr>
          <w:rFonts w:cs="Arial"/>
        </w:rPr>
        <w:t>o parâmetro de reversão, pois existe uma ou mais reversões de aposentadoria </w:t>
      </w:r>
      <w:r w:rsidRPr="00014613">
        <w:rPr>
          <w:rStyle w:val="Forte"/>
          <w:rFonts w:cs="Arial"/>
        </w:rPr>
        <w:t>a partir da nova vigência</w:t>
      </w:r>
      <w:r w:rsidRPr="00014613">
        <w:rPr>
          <w:rFonts w:cs="Arial"/>
        </w:rPr>
        <w:t>.</w:t>
      </w:r>
    </w:p>
    <w:p w:rsidR="00B3534F" w:rsidRPr="00014613" w:rsidRDefault="00B3534F" w:rsidP="00B3534F">
      <w:pPr>
        <w:ind w:left="1620"/>
        <w:rPr>
          <w:rFonts w:cs="Arial"/>
        </w:rPr>
      </w:pPr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29" w:name="_Toc404772772"/>
      <w:r w:rsidRPr="00014613">
        <w:t>RN04: Verificar existência de registro de reversão na retificação da vigência</w:t>
      </w:r>
      <w:bookmarkEnd w:id="29"/>
      <w:r w:rsidRPr="00014613">
        <w:t xml:space="preserve"> </w:t>
      </w:r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lastRenderedPageBreak/>
        <w:t>O sistema executa a verificação conforme o tipo de ação realizada pelo ator:</w:t>
      </w:r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> </w:t>
      </w:r>
      <w:r w:rsidRPr="00014613">
        <w:rPr>
          <w:rFonts w:cs="Arial"/>
        </w:rPr>
        <w:noBreakHyphen/>
        <w:t> a) Caso o período de vigência corrente não seja retificado.</w:t>
      </w:r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>       </w:t>
      </w:r>
      <w:r w:rsidRPr="00014613">
        <w:rPr>
          <w:rFonts w:cs="Arial"/>
        </w:rPr>
        <w:noBreakHyphen/>
        <w:t> Não pode existir nenhum histórico de reversão associado ao parâmetro no período da vigência corrente.</w:t>
      </w:r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> </w:t>
      </w:r>
      <w:r w:rsidRPr="00014613">
        <w:rPr>
          <w:rFonts w:cs="Arial"/>
        </w:rPr>
        <w:noBreakHyphen/>
        <w:t> b) Caso o período de vigência corrente seja retificado.</w:t>
      </w:r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>      </w:t>
      </w:r>
      <w:r w:rsidRPr="00014613">
        <w:rPr>
          <w:rFonts w:cs="Arial"/>
        </w:rPr>
        <w:noBreakHyphen/>
        <w:t> Não pode existir nenhum histórico de reversão associado ao parâmetro dentro do novo período considerado.</w:t>
      </w:r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>      </w:t>
      </w:r>
      <w:r w:rsidRPr="00014613">
        <w:rPr>
          <w:rFonts w:cs="Arial"/>
        </w:rPr>
        <w:noBreakHyphen/>
        <w:t> Não pode existir nenhum histórico de reversão associado ao parâmetro dentro do período desconsiderado.</w:t>
      </w:r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>Caso o sistema encontra registro de reversão de aposentadoria associadas, levanta exceção com a MSG2574: "Não é permitido &lt;operação&gt; o parâmetro de reversão, pois existe uma ou mais reversões de aposentadoria &lt;complemento&gt;."</w:t>
      </w:r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 xml:space="preserve">Exemplos: </w:t>
      </w:r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 xml:space="preserve">- Não é permitido </w:t>
      </w:r>
      <w:r w:rsidRPr="00014613">
        <w:rPr>
          <w:rStyle w:val="Forte"/>
          <w:rFonts w:cs="Arial"/>
        </w:rPr>
        <w:t xml:space="preserve">alterar </w:t>
      </w:r>
      <w:r w:rsidRPr="00014613">
        <w:rPr>
          <w:rFonts w:cs="Arial"/>
        </w:rPr>
        <w:t>o parâmetro de reversão, pois existe uma ou mais reversões de aposentadoria </w:t>
      </w:r>
      <w:r w:rsidRPr="00014613">
        <w:rPr>
          <w:rStyle w:val="Forte"/>
          <w:rFonts w:cs="Arial"/>
        </w:rPr>
        <w:t xml:space="preserve">dentro da vigência </w:t>
      </w:r>
      <w:r w:rsidRPr="00014613">
        <w:rPr>
          <w:rFonts w:cs="Arial"/>
        </w:rPr>
        <w:t>(a);</w:t>
      </w:r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 xml:space="preserve">- Não é permitido </w:t>
      </w:r>
      <w:r w:rsidRPr="00014613">
        <w:rPr>
          <w:rStyle w:val="Forte"/>
          <w:rFonts w:cs="Arial"/>
        </w:rPr>
        <w:t xml:space="preserve">alterar </w:t>
      </w:r>
      <w:r w:rsidRPr="00014613">
        <w:rPr>
          <w:rFonts w:cs="Arial"/>
        </w:rPr>
        <w:t>o parâmetro de reversão, pois existe uma ou mais reversões de aposentadoria </w:t>
      </w:r>
      <w:r w:rsidRPr="00014613">
        <w:rPr>
          <w:rStyle w:val="Forte"/>
          <w:rFonts w:cs="Arial"/>
        </w:rPr>
        <w:t xml:space="preserve">no novo período de vigência </w:t>
      </w:r>
      <w:r w:rsidRPr="00014613">
        <w:rPr>
          <w:rFonts w:cs="Arial"/>
        </w:rPr>
        <w:t>(b1);</w:t>
      </w:r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 xml:space="preserve">- Não é permitido </w:t>
      </w:r>
      <w:r w:rsidRPr="00014613">
        <w:rPr>
          <w:rStyle w:val="Forte"/>
          <w:rFonts w:cs="Arial"/>
        </w:rPr>
        <w:t xml:space="preserve">alterar </w:t>
      </w:r>
      <w:r w:rsidRPr="00014613">
        <w:rPr>
          <w:rFonts w:cs="Arial"/>
        </w:rPr>
        <w:t>o parâmetro de reversão, pois existe uma ou mais reversões de aposentadoria </w:t>
      </w:r>
      <w:r w:rsidRPr="00014613">
        <w:rPr>
          <w:rStyle w:val="Forte"/>
          <w:rFonts w:cs="Arial"/>
        </w:rPr>
        <w:t>no período de vigência desconsiderado </w:t>
      </w:r>
      <w:r w:rsidRPr="00014613">
        <w:rPr>
          <w:rFonts w:cs="Arial"/>
        </w:rPr>
        <w:t>(b2)</w:t>
      </w:r>
    </w:p>
    <w:p w:rsidR="00B3534F" w:rsidRPr="00014613" w:rsidRDefault="00B3534F" w:rsidP="00B3534F">
      <w:pPr>
        <w:ind w:left="1620"/>
        <w:rPr>
          <w:rFonts w:cs="Arial"/>
        </w:rPr>
      </w:pPr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30" w:name="_Toc404772773"/>
      <w:r w:rsidRPr="00014613">
        <w:t>RN05: Verificar existência de registro de reversão para excluir a vigência</w:t>
      </w:r>
      <w:bookmarkEnd w:id="30"/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>O sistema identifica que existem históricos de registro de reversão de aposentadoria associados ao parâmetro que iniciam a partir da vigência do parâmetro, então levanta exceção com a mensagem MSG2574: "Não é permitido &lt;operação&gt; o parâmetro de reversão, pois existe uma ou mais reversões de aposentadoria &lt;complemento&gt;."; Exemplo: “</w:t>
      </w:r>
      <w:r w:rsidRPr="00014613">
        <w:rPr>
          <w:rFonts w:cs="Arial"/>
          <w:color w:val="000000"/>
        </w:rPr>
        <w:t xml:space="preserve">Não é permitido </w:t>
      </w:r>
      <w:r w:rsidRPr="00014613">
        <w:rPr>
          <w:rStyle w:val="Forte"/>
          <w:rFonts w:cs="Arial"/>
          <w:color w:val="000000"/>
        </w:rPr>
        <w:t xml:space="preserve">excluir </w:t>
      </w:r>
      <w:r w:rsidRPr="00014613">
        <w:rPr>
          <w:rFonts w:cs="Arial"/>
          <w:color w:val="000000"/>
        </w:rPr>
        <w:t xml:space="preserve">o parâmetro </w:t>
      </w:r>
      <w:r w:rsidRPr="00014613">
        <w:rPr>
          <w:rFonts w:cs="Arial"/>
          <w:color w:val="000000"/>
        </w:rPr>
        <w:lastRenderedPageBreak/>
        <w:t>de reversão, pois existe uma ou mais reversões de aposentadoria </w:t>
      </w:r>
      <w:r w:rsidRPr="00014613">
        <w:rPr>
          <w:rStyle w:val="Forte"/>
          <w:rFonts w:cs="Arial"/>
          <w:color w:val="000000"/>
        </w:rPr>
        <w:t>na vigência a ser excluída.”</w:t>
      </w:r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31" w:name="_Toc404772774"/>
      <w:r w:rsidRPr="00014613">
        <w:t>RN06: Verificar existência de registro de reversão para finalizar a vigência</w:t>
      </w:r>
      <w:bookmarkEnd w:id="31"/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 xml:space="preserve">O sistema identifica que existe registro de reversão de aposentadoria associados ao parâmetro após a nova data final ou após a data final antiga, então levanta exceção com a mensagem MSG2574: "Não é permitido &lt;operação&gt; o parâmetro de reversão, pois existe uma ou mais reversões de aposentadoria &lt;complemento&gt;."; Exemplo: </w:t>
      </w:r>
      <w:r w:rsidRPr="00014613">
        <w:rPr>
          <w:rFonts w:cs="Arial"/>
          <w:color w:val="000000"/>
        </w:rPr>
        <w:t xml:space="preserve">Não é permitido </w:t>
      </w:r>
      <w:r w:rsidRPr="00014613">
        <w:rPr>
          <w:rStyle w:val="Forte"/>
          <w:rFonts w:cs="Arial"/>
          <w:color w:val="000000"/>
        </w:rPr>
        <w:t xml:space="preserve">finalizar </w:t>
      </w:r>
      <w:r w:rsidRPr="00014613">
        <w:rPr>
          <w:rFonts w:cs="Arial"/>
          <w:color w:val="000000"/>
        </w:rPr>
        <w:t>o parâmetro de reversão, pois existe uma ou mais reversões de aposentadoria </w:t>
      </w:r>
      <w:r w:rsidRPr="00014613">
        <w:rPr>
          <w:rStyle w:val="Forte"/>
          <w:rFonts w:cs="Arial"/>
          <w:color w:val="000000"/>
        </w:rPr>
        <w:t>após a nova data ou após a data final antiga.</w:t>
      </w:r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32" w:name="_Toc404772775"/>
      <w:r w:rsidRPr="00014613">
        <w:t>RN07: Verificar existência de registro de conversão para anular a vigência</w:t>
      </w:r>
      <w:bookmarkEnd w:id="32"/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>O sistema identifica que não existe registro de reversão de aposentadoria associados ao parâmetro dentro da vigência que está sendo anulada, então levanta exceção com a mensagem MSG0753: “Deve existir histórico de &lt;conceito&gt;.”; Exemplo: Deve existir histórico de reversões de aposentadoria para anular.</w:t>
      </w:r>
    </w:p>
    <w:p w:rsidR="00B3534F" w:rsidRPr="00014613" w:rsidRDefault="00B3534F" w:rsidP="00B3534F">
      <w:pPr>
        <w:pStyle w:val="Ttulo3"/>
        <w:keepNext w:val="0"/>
        <w:widowControl w:val="0"/>
        <w:tabs>
          <w:tab w:val="clear" w:pos="1440"/>
        </w:tabs>
        <w:spacing w:before="240" w:line="240" w:lineRule="auto"/>
        <w:ind w:left="1622" w:hanging="902"/>
      </w:pPr>
      <w:bookmarkStart w:id="33" w:name="_Toc404772776"/>
      <w:r w:rsidRPr="00014613">
        <w:t>RN08: Verificar regras de vigência conforme a operação</w:t>
      </w:r>
      <w:bookmarkEnd w:id="33"/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>O sistema deve manter as informações desta funcionalidade para vigência, conforme as regras e exemplos incluídos nos documentos:</w:t>
      </w:r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>-</w:t>
      </w:r>
      <w:r w:rsidRPr="00014613">
        <w:rPr>
          <w:rFonts w:cs="Arial"/>
        </w:rPr>
        <w:tab/>
        <w:t>#9838 - SIGRH - CAD - Gerenciamento de Vigência –Técnico”.</w:t>
      </w:r>
    </w:p>
    <w:p w:rsidR="00B3534F" w:rsidRPr="00014613" w:rsidRDefault="00B3534F" w:rsidP="00B3534F">
      <w:pPr>
        <w:ind w:left="1620"/>
        <w:rPr>
          <w:rFonts w:cs="Arial"/>
        </w:rPr>
      </w:pPr>
      <w:r w:rsidRPr="00014613">
        <w:rPr>
          <w:rFonts w:cs="Arial"/>
        </w:rPr>
        <w:t>-</w:t>
      </w:r>
      <w:r w:rsidRPr="00014613">
        <w:rPr>
          <w:rFonts w:cs="Arial"/>
        </w:rPr>
        <w:tab/>
        <w:t>#11326 - SIGRH - CAD - Vigência - Diagrama de Atividades”.</w:t>
      </w:r>
    </w:p>
    <w:p w:rsidR="00B3534F" w:rsidRPr="00014613" w:rsidRDefault="00B3534F" w:rsidP="00B3534F">
      <w:pPr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5"/>
        <w:gridCol w:w="1439"/>
        <w:gridCol w:w="5657"/>
      </w:tblGrid>
      <w:tr w:rsidR="00B3534F" w:rsidRPr="00014613" w:rsidTr="0097135F">
        <w:tc>
          <w:tcPr>
            <w:tcW w:w="21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B3534F" w:rsidRPr="00014613" w:rsidRDefault="00B3534F" w:rsidP="00D960DC">
            <w:pPr>
              <w:ind w:left="0"/>
              <w:rPr>
                <w:rFonts w:cs="Arial"/>
                <w:b/>
                <w:bCs/>
              </w:rPr>
            </w:pPr>
            <w:r w:rsidRPr="00014613">
              <w:rPr>
                <w:rFonts w:cs="Arial"/>
                <w:b/>
                <w:bCs/>
              </w:rPr>
              <w:t>Operação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B3534F" w:rsidRPr="00014613" w:rsidRDefault="00B3534F" w:rsidP="00D960DC">
            <w:pPr>
              <w:ind w:left="0"/>
              <w:rPr>
                <w:rFonts w:cs="Arial"/>
                <w:b/>
                <w:bCs/>
              </w:rPr>
            </w:pPr>
            <w:r w:rsidRPr="00014613">
              <w:rPr>
                <w:rFonts w:cs="Arial"/>
                <w:b/>
                <w:bCs/>
              </w:rPr>
              <w:t>Mensagem</w:t>
            </w:r>
          </w:p>
        </w:tc>
        <w:tc>
          <w:tcPr>
            <w:tcW w:w="5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:rsidR="00B3534F" w:rsidRPr="00014613" w:rsidRDefault="00B3534F" w:rsidP="00D960DC">
            <w:pPr>
              <w:ind w:left="0"/>
              <w:rPr>
                <w:rFonts w:cs="Arial"/>
                <w:b/>
                <w:bCs/>
              </w:rPr>
            </w:pPr>
            <w:r w:rsidRPr="00014613">
              <w:rPr>
                <w:rFonts w:cs="Arial"/>
                <w:b/>
                <w:bCs/>
              </w:rPr>
              <w:t>Descrição</w:t>
            </w:r>
          </w:p>
        </w:tc>
      </w:tr>
      <w:tr w:rsidR="00B3534F" w:rsidRPr="00014613" w:rsidTr="0097135F">
        <w:tc>
          <w:tcPr>
            <w:tcW w:w="21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D960DC">
            <w:pPr>
              <w:ind w:left="0"/>
              <w:rPr>
                <w:rFonts w:cs="Arial"/>
              </w:rPr>
            </w:pPr>
            <w:r w:rsidRPr="00014613">
              <w:rPr>
                <w:rFonts w:cs="Arial"/>
              </w:rPr>
              <w:t>Nova vigência*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D960DC">
            <w:pPr>
              <w:ind w:left="0"/>
              <w:rPr>
                <w:rFonts w:cs="Arial"/>
              </w:rPr>
            </w:pPr>
            <w:r w:rsidRPr="00014613">
              <w:rPr>
                <w:rFonts w:cs="Arial"/>
              </w:rPr>
              <w:t>MSG0831</w:t>
            </w:r>
          </w:p>
          <w:p w:rsidR="00B3534F" w:rsidRPr="00014613" w:rsidRDefault="00B3534F" w:rsidP="0097135F">
            <w:pPr>
              <w:rPr>
                <w:rFonts w:cs="Arial"/>
              </w:rPr>
            </w:pPr>
          </w:p>
        </w:tc>
        <w:tc>
          <w:tcPr>
            <w:tcW w:w="5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534F" w:rsidRPr="00014613" w:rsidRDefault="00B3534F" w:rsidP="00D960DC">
            <w:pPr>
              <w:ind w:left="0"/>
              <w:rPr>
                <w:rFonts w:cs="Arial"/>
              </w:rPr>
            </w:pPr>
            <w:r w:rsidRPr="00014613">
              <w:rPr>
                <w:rFonts w:cs="Arial"/>
              </w:rPr>
              <w:t>"A data inicial da vigência deve ser maior que a data inicial da vigência anterior ativa."</w:t>
            </w:r>
          </w:p>
        </w:tc>
      </w:tr>
      <w:tr w:rsidR="00B3534F" w:rsidRPr="00D960DC" w:rsidTr="0097135F">
        <w:tc>
          <w:tcPr>
            <w:tcW w:w="2115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D960DC">
            <w:pPr>
              <w:ind w:left="0"/>
              <w:rPr>
                <w:rFonts w:cs="Arial"/>
              </w:rPr>
            </w:pPr>
            <w:r w:rsidRPr="00014613">
              <w:rPr>
                <w:rFonts w:cs="Arial"/>
              </w:rPr>
              <w:t>Retificação*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D960DC">
            <w:pPr>
              <w:ind w:left="0"/>
              <w:rPr>
                <w:rFonts w:cs="Arial"/>
              </w:rPr>
            </w:pPr>
            <w:r w:rsidRPr="00014613">
              <w:rPr>
                <w:rFonts w:cs="Arial"/>
              </w:rPr>
              <w:t>MSG618</w:t>
            </w:r>
          </w:p>
        </w:tc>
        <w:tc>
          <w:tcPr>
            <w:tcW w:w="5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534F" w:rsidRPr="00014613" w:rsidRDefault="00B3534F" w:rsidP="00D960DC">
            <w:pPr>
              <w:ind w:left="0"/>
              <w:rPr>
                <w:rFonts w:cs="Arial"/>
              </w:rPr>
            </w:pPr>
            <w:r w:rsidRPr="00014613">
              <w:rPr>
                <w:rFonts w:cs="Arial"/>
              </w:rPr>
              <w:t>"Não é possivel &lt;nome_operacao&gt; uma vigência que não seja a última vigência ativa."</w:t>
            </w:r>
          </w:p>
          <w:p w:rsidR="00B3534F" w:rsidRPr="00014613" w:rsidRDefault="00B3534F" w:rsidP="00D960DC">
            <w:pPr>
              <w:ind w:left="0"/>
              <w:rPr>
                <w:rFonts w:cs="Arial"/>
              </w:rPr>
            </w:pPr>
          </w:p>
        </w:tc>
      </w:tr>
      <w:tr w:rsidR="00B3534F" w:rsidRPr="00D960DC" w:rsidTr="0097135F">
        <w:trPr>
          <w:trHeight w:val="648"/>
        </w:trPr>
        <w:tc>
          <w:tcPr>
            <w:tcW w:w="2115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D960DC">
            <w:pPr>
              <w:ind w:left="0"/>
              <w:rPr>
                <w:rFonts w:cs="Arial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D960DC">
            <w:pPr>
              <w:ind w:left="0"/>
              <w:rPr>
                <w:rFonts w:cs="Arial"/>
              </w:rPr>
            </w:pPr>
            <w:r w:rsidRPr="00014613">
              <w:rPr>
                <w:rFonts w:cs="Arial"/>
              </w:rPr>
              <w:t>MSG0831</w:t>
            </w:r>
          </w:p>
        </w:tc>
        <w:tc>
          <w:tcPr>
            <w:tcW w:w="5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534F" w:rsidRPr="00014613" w:rsidRDefault="00B3534F" w:rsidP="00D960DC">
            <w:pPr>
              <w:ind w:left="0"/>
              <w:rPr>
                <w:rFonts w:cs="Arial"/>
              </w:rPr>
            </w:pPr>
            <w:r w:rsidRPr="00014613">
              <w:rPr>
                <w:rFonts w:cs="Arial"/>
              </w:rPr>
              <w:t>"A data inicial da vigência deve ser maior que a data inicial da vigência anterior ativa."</w:t>
            </w:r>
          </w:p>
        </w:tc>
      </w:tr>
      <w:tr w:rsidR="00B3534F" w:rsidRPr="00D960DC" w:rsidTr="0097135F">
        <w:tc>
          <w:tcPr>
            <w:tcW w:w="21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D960DC">
            <w:pPr>
              <w:ind w:left="0"/>
              <w:rPr>
                <w:rFonts w:cs="Arial"/>
              </w:rPr>
            </w:pPr>
            <w:r w:rsidRPr="00014613">
              <w:rPr>
                <w:rFonts w:cs="Arial"/>
              </w:rPr>
              <w:t>Excluir vigência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34F" w:rsidRPr="00014613" w:rsidRDefault="00B3534F" w:rsidP="00D960DC">
            <w:pPr>
              <w:ind w:left="0"/>
              <w:rPr>
                <w:rFonts w:cs="Arial"/>
              </w:rPr>
            </w:pPr>
            <w:r w:rsidRPr="00014613">
              <w:rPr>
                <w:rFonts w:cs="Arial"/>
              </w:rPr>
              <w:t>MSG0597</w:t>
            </w:r>
          </w:p>
        </w:tc>
        <w:tc>
          <w:tcPr>
            <w:tcW w:w="5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534F" w:rsidRPr="00014613" w:rsidRDefault="00B3534F" w:rsidP="00D960DC">
            <w:pPr>
              <w:ind w:left="0"/>
              <w:rPr>
                <w:rFonts w:cs="Arial"/>
              </w:rPr>
            </w:pPr>
            <w:r w:rsidRPr="00014613">
              <w:rPr>
                <w:rFonts w:cs="Arial"/>
              </w:rPr>
              <w:t>"É permitido excluir apenas o &lt;nome do conceito&gt; da última vigência ativa."</w:t>
            </w:r>
          </w:p>
        </w:tc>
      </w:tr>
    </w:tbl>
    <w:p w:rsidR="00B3534F" w:rsidRPr="00014613" w:rsidRDefault="00B3534F" w:rsidP="00B3534F">
      <w:pPr>
        <w:widowControl w:val="0"/>
        <w:ind w:left="540"/>
        <w:rPr>
          <w:rFonts w:cs="Arial"/>
        </w:rPr>
      </w:pPr>
    </w:p>
    <w:p w:rsidR="00B3534F" w:rsidRPr="00014613" w:rsidRDefault="00B3534F" w:rsidP="00B3534F">
      <w:pPr>
        <w:rPr>
          <w:rFonts w:cs="Arial"/>
          <w:sz w:val="20"/>
          <w:szCs w:val="20"/>
        </w:rPr>
      </w:pPr>
      <w:r>
        <w:rPr>
          <w:rFonts w:cs="Arial"/>
        </w:rPr>
        <w:t>Referência: #9306: SINDRAPE Sistemática de vigências.</w:t>
      </w:r>
    </w:p>
    <w:p w:rsidR="00F41655" w:rsidRPr="00B3534F" w:rsidRDefault="00F41655" w:rsidP="00D960DC">
      <w:pPr>
        <w:ind w:left="0"/>
      </w:pPr>
    </w:p>
    <w:sectPr w:rsidR="00F41655" w:rsidRPr="00B3534F" w:rsidSect="00D960DC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567" w:footer="17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534F" w:rsidRDefault="00B3534F" w:rsidP="002908D9">
      <w:r>
        <w:separator/>
      </w:r>
    </w:p>
  </w:endnote>
  <w:endnote w:type="continuationSeparator" w:id="0">
    <w:p w:rsidR="00B3534F" w:rsidRDefault="00B3534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960DC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3534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960D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960DC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960D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3534F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3534F">
            <w:rPr>
              <w:b/>
              <w:sz w:val="20"/>
              <w:szCs w:val="20"/>
            </w:rPr>
            <w:t xml:space="preserve"> Aposentadoria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960DC" w:rsidRPr="00D960DC">
            <w:rPr>
              <w:b/>
              <w:sz w:val="20"/>
              <w:szCs w:val="20"/>
            </w:rPr>
            <w:t>UCS0545 - Definir Parâmetros da Reversão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3EC2B76" wp14:editId="764C3125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534F" w:rsidRDefault="00B3534F" w:rsidP="002908D9">
      <w:r>
        <w:separator/>
      </w:r>
    </w:p>
  </w:footnote>
  <w:footnote w:type="continuationSeparator" w:id="0">
    <w:p w:rsidR="00B3534F" w:rsidRDefault="00B3534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D960DC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74CA38B2" wp14:editId="0CEDFE80">
          <wp:simplePos x="0" y="0"/>
          <wp:positionH relativeFrom="column">
            <wp:posOffset>4257675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1493577" wp14:editId="1094DC37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9D0F67C" wp14:editId="208CB7FC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17AF638" wp14:editId="75449A9B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6AD6F79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34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5287E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3534F"/>
    <w:rsid w:val="00B53128"/>
    <w:rsid w:val="00B9480F"/>
    <w:rsid w:val="00B94A14"/>
    <w:rsid w:val="00BD3501"/>
    <w:rsid w:val="00C06B86"/>
    <w:rsid w:val="00C80215"/>
    <w:rsid w:val="00CA0CEF"/>
    <w:rsid w:val="00D960DC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3534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3534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960DC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3534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3534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3534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3534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3534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3534F"/>
    <w:pPr>
      <w:ind w:left="0"/>
    </w:pPr>
  </w:style>
  <w:style w:type="paragraph" w:styleId="ndicedeilustraes">
    <w:name w:val="table of figures"/>
    <w:basedOn w:val="Normal"/>
    <w:next w:val="Normal"/>
    <w:semiHidden/>
    <w:rsid w:val="00B3534F"/>
  </w:style>
  <w:style w:type="paragraph" w:styleId="Sumrio2">
    <w:name w:val="toc 2"/>
    <w:basedOn w:val="Normal"/>
    <w:next w:val="Normal"/>
    <w:autoRedefine/>
    <w:uiPriority w:val="39"/>
    <w:rsid w:val="00B3534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3534F"/>
    <w:pPr>
      <w:ind w:left="480"/>
    </w:pPr>
  </w:style>
  <w:style w:type="character" w:styleId="Hyperlink">
    <w:name w:val="Hyperlink"/>
    <w:basedOn w:val="Fontepargpadro"/>
    <w:uiPriority w:val="99"/>
    <w:rsid w:val="00B3534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3534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3534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3534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3534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3534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3534F"/>
    <w:rPr>
      <w:sz w:val="16"/>
    </w:rPr>
  </w:style>
  <w:style w:type="character" w:styleId="Nmerodepgina">
    <w:name w:val="page number"/>
    <w:basedOn w:val="Fontepargpadro"/>
    <w:rsid w:val="00B3534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3534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353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3534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3534F"/>
  </w:style>
  <w:style w:type="paragraph" w:styleId="Corpodetexto">
    <w:name w:val="Body Text"/>
    <w:basedOn w:val="Normal"/>
    <w:link w:val="CorpodetextoChar"/>
    <w:rsid w:val="00B3534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3534F"/>
    <w:rPr>
      <w:rFonts w:eastAsia="Arial Unicode MS"/>
    </w:rPr>
  </w:style>
  <w:style w:type="paragraph" w:customStyle="1" w:styleId="tabletext">
    <w:name w:val="tabletext"/>
    <w:basedOn w:val="Normal"/>
    <w:rsid w:val="00B3534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3534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3534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3534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3534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3534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3534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3534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3534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3534F"/>
    <w:pPr>
      <w:widowControl w:val="0"/>
    </w:pPr>
    <w:rPr>
      <w:rFonts w:ascii="Arial" w:hAnsi="Arial"/>
      <w:color w:val="000000"/>
      <w:sz w:val="24"/>
      <w:lang w:val="en-US"/>
    </w:rPr>
  </w:style>
  <w:style w:type="character" w:styleId="Forte">
    <w:name w:val="Strong"/>
    <w:basedOn w:val="Fontepargpadro"/>
    <w:qFormat/>
    <w:rsid w:val="00B3534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3534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3534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960DC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3534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3534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3534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3534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3534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3534F"/>
    <w:pPr>
      <w:ind w:left="0"/>
    </w:pPr>
  </w:style>
  <w:style w:type="paragraph" w:styleId="ndicedeilustraes">
    <w:name w:val="table of figures"/>
    <w:basedOn w:val="Normal"/>
    <w:next w:val="Normal"/>
    <w:semiHidden/>
    <w:rsid w:val="00B3534F"/>
  </w:style>
  <w:style w:type="paragraph" w:styleId="Sumrio2">
    <w:name w:val="toc 2"/>
    <w:basedOn w:val="Normal"/>
    <w:next w:val="Normal"/>
    <w:autoRedefine/>
    <w:uiPriority w:val="39"/>
    <w:rsid w:val="00B3534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3534F"/>
    <w:pPr>
      <w:ind w:left="480"/>
    </w:pPr>
  </w:style>
  <w:style w:type="character" w:styleId="Hyperlink">
    <w:name w:val="Hyperlink"/>
    <w:basedOn w:val="Fontepargpadro"/>
    <w:uiPriority w:val="99"/>
    <w:rsid w:val="00B3534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3534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3534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3534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3534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3534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3534F"/>
    <w:rPr>
      <w:sz w:val="16"/>
    </w:rPr>
  </w:style>
  <w:style w:type="character" w:styleId="Nmerodepgina">
    <w:name w:val="page number"/>
    <w:basedOn w:val="Fontepargpadro"/>
    <w:rsid w:val="00B3534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3534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353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3534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3534F"/>
  </w:style>
  <w:style w:type="paragraph" w:styleId="Corpodetexto">
    <w:name w:val="Body Text"/>
    <w:basedOn w:val="Normal"/>
    <w:link w:val="CorpodetextoChar"/>
    <w:rsid w:val="00B3534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3534F"/>
    <w:rPr>
      <w:rFonts w:eastAsia="Arial Unicode MS"/>
    </w:rPr>
  </w:style>
  <w:style w:type="paragraph" w:customStyle="1" w:styleId="tabletext">
    <w:name w:val="tabletext"/>
    <w:basedOn w:val="Normal"/>
    <w:rsid w:val="00B3534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3534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3534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3534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3534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3534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3534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3534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3534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3534F"/>
    <w:pPr>
      <w:widowControl w:val="0"/>
    </w:pPr>
    <w:rPr>
      <w:rFonts w:ascii="Arial" w:hAnsi="Arial"/>
      <w:color w:val="000000"/>
      <w:sz w:val="24"/>
      <w:lang w:val="en-US"/>
    </w:rPr>
  </w:style>
  <w:style w:type="character" w:styleId="Forte">
    <w:name w:val="Strong"/>
    <w:basedOn w:val="Fontepargpadro"/>
    <w:qFormat/>
    <w:rsid w:val="00B353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439C37-9F1A-4CEA-B2B5-9D10E2D33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13</Pages>
  <Words>1993</Words>
  <Characters>12831</Characters>
  <Application>Microsoft Office Word</Application>
  <DocSecurity>0</DocSecurity>
  <Lines>106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14795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2014-11-08T04:44:00Z</cp:lastPrinted>
  <dcterms:created xsi:type="dcterms:W3CDTF">2014-11-08T04:43:00Z</dcterms:created>
  <dcterms:modified xsi:type="dcterms:W3CDTF">2014-11-26T15:43:00Z</dcterms:modified>
</cp:coreProperties>
</file>