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1EF" w:rsidRDefault="007301EF" w:rsidP="007301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301EF" w:rsidRDefault="007301EF" w:rsidP="007301EF">
      <w:pPr>
        <w:widowControl w:val="0"/>
        <w:rPr>
          <w:rFonts w:cs="Arial"/>
          <w:sz w:val="20"/>
        </w:rPr>
      </w:pPr>
    </w:p>
    <w:p w:rsidR="007301EF" w:rsidRDefault="007301EF" w:rsidP="007301EF">
      <w:pPr>
        <w:widowControl w:val="0"/>
        <w:rPr>
          <w:rFonts w:cs="Arial"/>
          <w:sz w:val="20"/>
        </w:rPr>
      </w:pPr>
    </w:p>
    <w:p w:rsidR="007301EF" w:rsidRDefault="007301EF" w:rsidP="007301EF">
      <w:pPr>
        <w:widowControl w:val="0"/>
        <w:rPr>
          <w:rFonts w:cs="Arial"/>
          <w:sz w:val="20"/>
        </w:rPr>
      </w:pPr>
    </w:p>
    <w:p w:rsidR="007301EF" w:rsidRDefault="007301EF" w:rsidP="007301EF">
      <w:pPr>
        <w:widowControl w:val="0"/>
        <w:rPr>
          <w:rFonts w:cs="Arial"/>
          <w:sz w:val="20"/>
        </w:rPr>
      </w:pPr>
    </w:p>
    <w:p w:rsidR="007301EF" w:rsidRDefault="007301EF" w:rsidP="007301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301EF" w:rsidRDefault="007301EF" w:rsidP="007301EF">
      <w:pPr>
        <w:widowControl w:val="0"/>
        <w:rPr>
          <w:rFonts w:cs="Arial"/>
          <w:sz w:val="20"/>
          <w:u w:val="single"/>
        </w:rPr>
      </w:pPr>
    </w:p>
    <w:p w:rsidR="007301EF" w:rsidRDefault="007301EF" w:rsidP="007301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301EF" w:rsidRDefault="007301EF" w:rsidP="007301EF">
      <w:pPr>
        <w:widowControl w:val="0"/>
        <w:rPr>
          <w:rFonts w:cs="Arial"/>
          <w:sz w:val="20"/>
        </w:rPr>
      </w:pPr>
    </w:p>
    <w:p w:rsidR="007301EF" w:rsidRDefault="007301EF" w:rsidP="007301EF">
      <w:pPr>
        <w:widowControl w:val="0"/>
        <w:rPr>
          <w:rFonts w:cs="Arial"/>
          <w:sz w:val="20"/>
        </w:rPr>
      </w:pPr>
    </w:p>
    <w:p w:rsidR="007301EF" w:rsidRDefault="007301EF" w:rsidP="007301EF">
      <w:pPr>
        <w:widowControl w:val="0"/>
        <w:rPr>
          <w:rFonts w:cs="Arial"/>
          <w:sz w:val="20"/>
        </w:rPr>
      </w:pPr>
    </w:p>
    <w:p w:rsidR="007301EF" w:rsidRDefault="007301EF" w:rsidP="007301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301EF" w:rsidRDefault="007301EF" w:rsidP="007301EF">
      <w:pPr>
        <w:widowControl w:val="0"/>
        <w:rPr>
          <w:rFonts w:cs="Arial"/>
          <w:sz w:val="20"/>
        </w:rPr>
      </w:pPr>
    </w:p>
    <w:p w:rsidR="007301EF" w:rsidRDefault="007301EF" w:rsidP="007301EF">
      <w:pPr>
        <w:widowControl w:val="0"/>
        <w:rPr>
          <w:rFonts w:cs="Arial"/>
          <w:sz w:val="20"/>
        </w:rPr>
      </w:pPr>
    </w:p>
    <w:p w:rsidR="007301EF" w:rsidRDefault="007301EF" w:rsidP="007301EF">
      <w:pPr>
        <w:widowControl w:val="0"/>
        <w:rPr>
          <w:rFonts w:cs="Arial"/>
        </w:rPr>
      </w:pPr>
    </w:p>
    <w:p w:rsidR="007301EF" w:rsidRDefault="007301EF" w:rsidP="007301EF">
      <w:pPr>
        <w:pStyle w:val="Capa"/>
        <w:rPr>
          <w:color w:val="FF9900"/>
        </w:rPr>
      </w:pPr>
      <w:r>
        <w:t>SINDRAPE</w:t>
      </w:r>
    </w:p>
    <w:p w:rsidR="007301EF" w:rsidRDefault="007301EF" w:rsidP="007301E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301EF" w:rsidRPr="007301EF" w:rsidRDefault="007301EF" w:rsidP="007301EF">
      <w:pPr>
        <w:widowControl w:val="0"/>
        <w:rPr>
          <w:color w:val="000080"/>
        </w:rPr>
      </w:pPr>
    </w:p>
    <w:p w:rsidR="007301EF" w:rsidRPr="007301EF" w:rsidRDefault="007301EF" w:rsidP="007301EF">
      <w:pPr>
        <w:widowControl w:val="0"/>
        <w:jc w:val="right"/>
        <w:rPr>
          <w:rFonts w:cs="Arial"/>
          <w:b/>
          <w:bCs/>
          <w:color w:val="000080"/>
        </w:rPr>
      </w:pPr>
    </w:p>
    <w:p w:rsidR="007301EF" w:rsidRDefault="007301EF" w:rsidP="007301EF">
      <w:pPr>
        <w:pStyle w:val="Capa"/>
      </w:pPr>
      <w:r>
        <w:t>UCS0546</w:t>
      </w:r>
      <w:r w:rsidR="00D12F83">
        <w:t xml:space="preserve"> </w:t>
      </w:r>
      <w:r>
        <w:t>– Definir Parâmetros de Reversão</w:t>
      </w:r>
    </w:p>
    <w:p w:rsidR="007301EF" w:rsidRDefault="007301EF" w:rsidP="007301EF">
      <w:pPr>
        <w:widowControl w:val="0"/>
        <w:rPr>
          <w:rFonts w:cs="Arial"/>
        </w:rPr>
      </w:pPr>
    </w:p>
    <w:p w:rsidR="007301EF" w:rsidRDefault="007301EF" w:rsidP="007301EF">
      <w:pPr>
        <w:widowControl w:val="0"/>
      </w:pPr>
    </w:p>
    <w:p w:rsidR="007301EF" w:rsidRDefault="007301EF" w:rsidP="007301E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7301EF" w:rsidRPr="007301EF" w:rsidRDefault="007301EF" w:rsidP="007301EF">
      <w:pPr>
        <w:pStyle w:val="Corpodetexto3"/>
        <w:widowControl w:val="0"/>
        <w:spacing w:after="0"/>
        <w:rPr>
          <w:rFonts w:cs="Arial"/>
        </w:rPr>
      </w:pPr>
      <w:r w:rsidRPr="007301EF">
        <w:rPr>
          <w:rFonts w:cs="Arial"/>
        </w:rPr>
        <w:lastRenderedPageBreak/>
        <w:t>Histórico de Revisões</w:t>
      </w:r>
    </w:p>
    <w:p w:rsidR="007301EF" w:rsidRDefault="007301EF" w:rsidP="007301E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301EF" w:rsidTr="007301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301EF" w:rsidTr="007301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01/09/2006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7301EF" w:rsidTr="007301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1EF" w:rsidRDefault="007301EF" w:rsidP="007301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301EF" w:rsidRDefault="007301EF" w:rsidP="007301E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  <w:bookmarkStart w:id="0" w:name="_GoBack"/>
      <w:bookmarkEnd w:id="0"/>
    </w:p>
    <w:p w:rsidR="007301EF" w:rsidRPr="007301EF" w:rsidRDefault="007301EF" w:rsidP="007301EF">
      <w:pPr>
        <w:pStyle w:val="Corpodetexto3"/>
        <w:widowControl w:val="0"/>
        <w:spacing w:after="0"/>
        <w:jc w:val="left"/>
        <w:rPr>
          <w:rFonts w:cs="Arial"/>
        </w:rPr>
      </w:pPr>
      <w:r w:rsidRPr="007301EF">
        <w:rPr>
          <w:rFonts w:cs="Arial"/>
        </w:rPr>
        <w:lastRenderedPageBreak/>
        <w:t>Índice</w:t>
      </w:r>
    </w:p>
    <w:p w:rsidR="007301EF" w:rsidRPr="007301EF" w:rsidRDefault="007301EF" w:rsidP="007301EF">
      <w:pPr>
        <w:pStyle w:val="Corpodetexto3"/>
        <w:widowControl w:val="0"/>
        <w:spacing w:after="0"/>
        <w:jc w:val="left"/>
        <w:rPr>
          <w:rFonts w:cs="Arial"/>
        </w:rPr>
      </w:pPr>
    </w:p>
    <w:p w:rsidR="00D12F83" w:rsidRDefault="007301EF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3226" w:history="1">
        <w:r w:rsidR="00D12F83" w:rsidRPr="00823920">
          <w:rPr>
            <w:rStyle w:val="Hyperlink"/>
            <w:noProof/>
          </w:rPr>
          <w:t>1.</w:t>
        </w:r>
        <w:r w:rsidR="00D12F8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12F83" w:rsidRPr="00823920">
          <w:rPr>
            <w:rStyle w:val="Hyperlink"/>
            <w:noProof/>
          </w:rPr>
          <w:t>Pacote/Caso de Uso</w:t>
        </w:r>
        <w:r w:rsidR="00D12F83">
          <w:rPr>
            <w:noProof/>
            <w:webHidden/>
          </w:rPr>
          <w:tab/>
        </w:r>
        <w:r w:rsidR="00D12F83">
          <w:rPr>
            <w:noProof/>
            <w:webHidden/>
          </w:rPr>
          <w:fldChar w:fldCharType="begin"/>
        </w:r>
        <w:r w:rsidR="00D12F83">
          <w:rPr>
            <w:noProof/>
            <w:webHidden/>
          </w:rPr>
          <w:instrText xml:space="preserve"> PAGEREF _Toc404773226 \h </w:instrText>
        </w:r>
        <w:r w:rsidR="00D12F83">
          <w:rPr>
            <w:noProof/>
            <w:webHidden/>
          </w:rPr>
        </w:r>
        <w:r w:rsidR="00D12F83">
          <w:rPr>
            <w:noProof/>
            <w:webHidden/>
          </w:rPr>
          <w:fldChar w:fldCharType="separate"/>
        </w:r>
        <w:r w:rsidR="00D12F83">
          <w:rPr>
            <w:noProof/>
            <w:webHidden/>
          </w:rPr>
          <w:t>4</w:t>
        </w:r>
        <w:r w:rsidR="00D12F83"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27" w:history="1">
        <w:r w:rsidRPr="0082392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28" w:history="1">
        <w:r w:rsidRPr="0082392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29" w:history="1">
        <w:r w:rsidRPr="0082392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0" w:history="1">
        <w:r w:rsidRPr="0082392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1" w:history="1">
        <w:r w:rsidRPr="0082392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2" w:history="1">
        <w:r w:rsidRPr="0082392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3" w:history="1">
        <w:r w:rsidRPr="0082392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4" w:history="1">
        <w:r w:rsidRPr="0082392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Incluir Definição dos Parâmetros de Reversão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5" w:history="1">
        <w:r w:rsidRPr="0082392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6" w:history="1">
        <w:r w:rsidRPr="0082392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7" w:history="1">
        <w:r w:rsidRPr="0082392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Alterar Definição dos Parâmetros de Reversão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8" w:history="1">
        <w:r w:rsidRPr="0082392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39" w:history="1">
        <w:r w:rsidRPr="0082392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40" w:history="1">
        <w:r w:rsidRPr="0082392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Anular Definição do Parâmetros de Reversão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41" w:history="1">
        <w:r w:rsidRPr="0082392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42" w:history="1">
        <w:r w:rsidRPr="00823920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43" w:history="1">
        <w:r w:rsidRPr="00823920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44" w:history="1">
        <w:r w:rsidRPr="0082392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Excluir Definição dos Parâmetros de Reversão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45" w:history="1">
        <w:r w:rsidRPr="00823920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46" w:history="1">
        <w:r w:rsidRPr="00823920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rFonts w:eastAsia="Arial Unicode MS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47" w:history="1">
        <w:r w:rsidRPr="00823920">
          <w:rPr>
            <w:rStyle w:val="Hyperlink"/>
            <w:rFonts w:eastAsia="Arial Unicode MS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Caso se trate de uma alteração retificadora: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12F83" w:rsidRDefault="00D12F83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248" w:history="1">
        <w:r w:rsidRPr="00823920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920">
          <w:rPr>
            <w:rStyle w:val="Hyperlink"/>
            <w:noProof/>
          </w:rPr>
          <w:t>Caso não se trate de uma alteração retificadora (evolução)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301EF" w:rsidRDefault="007301EF" w:rsidP="007301EF">
      <w:pPr>
        <w:pStyle w:val="Sumrio1"/>
      </w:pPr>
      <w:r>
        <w:fldChar w:fldCharType="end"/>
      </w:r>
    </w:p>
    <w:p w:rsidR="007301EF" w:rsidRDefault="007301EF" w:rsidP="007301EF">
      <w:pPr>
        <w:widowControl w:val="0"/>
        <w:rPr>
          <w:rFonts w:cs="Arial"/>
          <w:b/>
          <w:bCs/>
          <w:color w:val="000000"/>
        </w:rPr>
      </w:pPr>
    </w:p>
    <w:p w:rsidR="007301EF" w:rsidRDefault="007301EF" w:rsidP="007301EF">
      <w:pPr>
        <w:pStyle w:val="Heading"/>
        <w:rPr>
          <w:rFonts w:cs="Arial"/>
          <w:szCs w:val="24"/>
          <w:lang w:val="pt-BR"/>
        </w:rPr>
      </w:pPr>
    </w:p>
    <w:p w:rsidR="007301EF" w:rsidRDefault="007301EF" w:rsidP="007301EF">
      <w:pPr>
        <w:pStyle w:val="Heading"/>
      </w:pPr>
    </w:p>
    <w:p w:rsidR="007301EF" w:rsidRDefault="007301EF" w:rsidP="007301EF">
      <w:pPr>
        <w:pStyle w:val="Heading"/>
        <w:jc w:val="center"/>
      </w:pPr>
    </w:p>
    <w:p w:rsidR="007301EF" w:rsidRDefault="007301EF" w:rsidP="007301E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301EF" w:rsidRDefault="007301EF" w:rsidP="007301E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3226"/>
      <w:r>
        <w:lastRenderedPageBreak/>
        <w:t>Pacote/Caso de Uso</w:t>
      </w:r>
      <w:bookmarkEnd w:id="1"/>
    </w:p>
    <w:p w:rsidR="007301EF" w:rsidRDefault="007301EF" w:rsidP="007301EF"/>
    <w:p w:rsidR="007301EF" w:rsidRDefault="007301EF" w:rsidP="007301EF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Definir Parâmetros de Reversão</w:t>
      </w:r>
    </w:p>
    <w:p w:rsidR="007301EF" w:rsidRDefault="007301EF" w:rsidP="00D12F83">
      <w:pPr>
        <w:pStyle w:val="Ttulo2"/>
      </w:pPr>
      <w:bookmarkStart w:id="2" w:name="_Toc404773227"/>
      <w:r>
        <w:t>Descrição</w:t>
      </w:r>
      <w:bookmarkEnd w:id="2"/>
    </w:p>
    <w:p w:rsidR="007301EF" w:rsidRDefault="007301EF" w:rsidP="007301E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definição dos parâmetros de reversão.</w:t>
      </w:r>
    </w:p>
    <w:p w:rsidR="007301EF" w:rsidRDefault="007301EF" w:rsidP="007301EF">
      <w:pPr>
        <w:pStyle w:val="Recuodecorpodetexto2"/>
        <w:widowControl w:val="0"/>
        <w:ind w:left="1620" w:firstLine="0"/>
        <w:rPr>
          <w:sz w:val="24"/>
        </w:rPr>
      </w:pPr>
    </w:p>
    <w:p w:rsidR="007301EF" w:rsidRDefault="007301EF" w:rsidP="00D12F83">
      <w:pPr>
        <w:pStyle w:val="Ttulo2"/>
      </w:pPr>
      <w:bookmarkStart w:id="3" w:name="_Toc404773228"/>
      <w:r>
        <w:t>Requisitos atendidos</w:t>
      </w:r>
      <w:bookmarkEnd w:id="3"/>
    </w:p>
    <w:p w:rsidR="007301EF" w:rsidRDefault="007301EF" w:rsidP="007301EF">
      <w:pPr>
        <w:pStyle w:val="Recuodecorpodetexto"/>
        <w:ind w:left="1260"/>
      </w:pPr>
      <w:r>
        <w:t>R 22 – Manter Parâmetros de Reversão</w:t>
      </w:r>
    </w:p>
    <w:p w:rsidR="007301EF" w:rsidRDefault="007301EF" w:rsidP="007301EF"/>
    <w:p w:rsidR="007301EF" w:rsidRDefault="007301EF" w:rsidP="007301EF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73229"/>
      <w:r>
        <w:t>Conceito</w:t>
      </w:r>
      <w:bookmarkEnd w:id="4"/>
      <w:r>
        <w:tab/>
      </w:r>
    </w:p>
    <w:p w:rsidR="007301EF" w:rsidRDefault="007301EF" w:rsidP="00D12F83">
      <w:pPr>
        <w:pStyle w:val="Ttulo2"/>
      </w:pPr>
      <w:bookmarkStart w:id="5" w:name="_Toc144812032"/>
      <w:bookmarkStart w:id="6" w:name="_Toc404773230"/>
      <w:r>
        <w:t>Conceitos principais</w:t>
      </w:r>
      <w:bookmarkEnd w:id="5"/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301EF" w:rsidTr="00D12F83">
        <w:trPr>
          <w:trHeight w:val="600"/>
        </w:trPr>
        <w:tc>
          <w:tcPr>
            <w:tcW w:w="2338" w:type="dxa"/>
          </w:tcPr>
          <w:p w:rsidR="007301EF" w:rsidRDefault="007301EF" w:rsidP="007301E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Modelos de aposentadorias</w:t>
            </w:r>
          </w:p>
        </w:tc>
        <w:tc>
          <w:tcPr>
            <w:tcW w:w="6732" w:type="dxa"/>
          </w:tcPr>
          <w:p w:rsidR="007301EF" w:rsidRDefault="007301EF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modelos de aposentadoria em que o servidor pode se aposentar.</w:t>
            </w:r>
          </w:p>
        </w:tc>
      </w:tr>
    </w:tbl>
    <w:p w:rsidR="007301EF" w:rsidRDefault="007301EF" w:rsidP="007301EF">
      <w:pPr>
        <w:rPr>
          <w:rFonts w:cs="Arial"/>
        </w:rPr>
      </w:pPr>
    </w:p>
    <w:p w:rsidR="007301EF" w:rsidRDefault="007301EF" w:rsidP="00D12F83">
      <w:pPr>
        <w:pStyle w:val="Ttulo2"/>
      </w:pPr>
      <w:bookmarkStart w:id="7" w:name="_Toc144812033"/>
      <w:bookmarkStart w:id="8" w:name="_Toc404773231"/>
      <w:r>
        <w:t>Conceitos associados</w:t>
      </w:r>
      <w:bookmarkEnd w:id="7"/>
      <w:bookmarkEnd w:id="8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301EF" w:rsidTr="00D12F83">
        <w:trPr>
          <w:trHeight w:val="600"/>
        </w:trPr>
        <w:tc>
          <w:tcPr>
            <w:tcW w:w="2338" w:type="dxa"/>
          </w:tcPr>
          <w:p w:rsidR="007301EF" w:rsidRDefault="007301EF" w:rsidP="007301EF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Modalidades de aposentadorias</w:t>
            </w:r>
          </w:p>
        </w:tc>
        <w:tc>
          <w:tcPr>
            <w:tcW w:w="6732" w:type="dxa"/>
          </w:tcPr>
          <w:p w:rsidR="007301EF" w:rsidRDefault="007301EF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modalidades que amparam as aposentadorias.</w:t>
            </w:r>
          </w:p>
        </w:tc>
      </w:tr>
    </w:tbl>
    <w:p w:rsidR="007301EF" w:rsidRDefault="007301EF" w:rsidP="007301EF">
      <w:pPr>
        <w:rPr>
          <w:rFonts w:eastAsia="Arial Unicode MS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301EF" w:rsidTr="00D12F83">
        <w:trPr>
          <w:trHeight w:val="600"/>
        </w:trPr>
        <w:tc>
          <w:tcPr>
            <w:tcW w:w="1600" w:type="dxa"/>
          </w:tcPr>
          <w:p w:rsidR="007301EF" w:rsidRDefault="007301EF" w:rsidP="007301EF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Tipos de aposentadorias</w:t>
            </w:r>
          </w:p>
        </w:tc>
        <w:tc>
          <w:tcPr>
            <w:tcW w:w="4606" w:type="dxa"/>
          </w:tcPr>
          <w:p w:rsidR="007301EF" w:rsidRDefault="007301EF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tipos que amparam as aposentadorias.</w:t>
            </w:r>
          </w:p>
        </w:tc>
      </w:tr>
    </w:tbl>
    <w:p w:rsidR="007301EF" w:rsidRDefault="007301EF" w:rsidP="007301EF">
      <w:pPr>
        <w:rPr>
          <w:rFonts w:eastAsia="Arial Unicode MS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301EF" w:rsidTr="00D12F83">
        <w:trPr>
          <w:trHeight w:val="600"/>
        </w:trPr>
        <w:tc>
          <w:tcPr>
            <w:tcW w:w="1600" w:type="dxa"/>
          </w:tcPr>
          <w:p w:rsidR="007301EF" w:rsidRDefault="007301EF" w:rsidP="007301EF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Fundamentações legais de aposentadorias</w:t>
            </w:r>
          </w:p>
        </w:tc>
        <w:tc>
          <w:tcPr>
            <w:tcW w:w="4606" w:type="dxa"/>
          </w:tcPr>
          <w:p w:rsidR="007301EF" w:rsidRDefault="007301EF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fundamentações legais que amparam as aposentadorias.</w:t>
            </w:r>
          </w:p>
        </w:tc>
      </w:tr>
    </w:tbl>
    <w:p w:rsidR="007301EF" w:rsidRDefault="007301EF" w:rsidP="007301EF">
      <w:pPr>
        <w:rPr>
          <w:rFonts w:eastAsia="Arial Unicode MS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301EF" w:rsidTr="00D12F83">
        <w:trPr>
          <w:trHeight w:val="600"/>
        </w:trPr>
        <w:tc>
          <w:tcPr>
            <w:tcW w:w="1600" w:type="dxa"/>
          </w:tcPr>
          <w:p w:rsidR="007301EF" w:rsidRDefault="007301EF" w:rsidP="007301EF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Modelos de averbações</w:t>
            </w:r>
          </w:p>
        </w:tc>
        <w:tc>
          <w:tcPr>
            <w:tcW w:w="4606" w:type="dxa"/>
          </w:tcPr>
          <w:p w:rsidR="007301EF" w:rsidRDefault="007301EF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diversos tipos de averbações de tempos de serviço.</w:t>
            </w:r>
          </w:p>
        </w:tc>
      </w:tr>
    </w:tbl>
    <w:p w:rsidR="007301EF" w:rsidRDefault="007301EF" w:rsidP="007301E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73232"/>
      <w:r>
        <w:lastRenderedPageBreak/>
        <w:t>Diagrama</w:t>
      </w:r>
      <w:bookmarkEnd w:id="9"/>
    </w:p>
    <w:p w:rsidR="007301EF" w:rsidRDefault="007301EF" w:rsidP="007301E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301EF" w:rsidRDefault="007301EF" w:rsidP="007301EF">
      <w:pPr>
        <w:widowControl w:val="0"/>
        <w:jc w:val="center"/>
        <w:rPr>
          <w:rFonts w:cs="Arial"/>
        </w:rPr>
      </w:pPr>
    </w:p>
    <w:p w:rsidR="007301EF" w:rsidRDefault="00D12F83" w:rsidP="00D12F8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AF618B0" wp14:editId="5E1DE4AA">
            <wp:extent cx="5400675" cy="25717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1EF" w:rsidRDefault="007301EF" w:rsidP="007301EF">
      <w:pPr>
        <w:widowControl w:val="0"/>
        <w:jc w:val="center"/>
        <w:rPr>
          <w:rFonts w:cs="Arial"/>
        </w:rPr>
      </w:pPr>
    </w:p>
    <w:p w:rsidR="007301EF" w:rsidRDefault="007301EF" w:rsidP="007301E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773233"/>
      <w:r>
        <w:lastRenderedPageBreak/>
        <w:t>Casos de Uso</w:t>
      </w:r>
      <w:bookmarkEnd w:id="10"/>
    </w:p>
    <w:p w:rsidR="007301EF" w:rsidRDefault="007301EF" w:rsidP="00D12F83">
      <w:pPr>
        <w:pStyle w:val="Ttulo2"/>
      </w:pPr>
      <w:bookmarkStart w:id="11" w:name="_Toc404773234"/>
      <w:r>
        <w:t>Incluir Definição dos Parâmetros de Reversão</w:t>
      </w:r>
      <w:bookmarkEnd w:id="11"/>
    </w:p>
    <w:p w:rsidR="007301EF" w:rsidRDefault="007301EF" w:rsidP="007301EF">
      <w:pPr>
        <w:pStyle w:val="Ttulo3"/>
        <w:keepNext w:val="0"/>
        <w:widowControl w:val="0"/>
        <w:spacing w:before="120" w:line="240" w:lineRule="auto"/>
      </w:pPr>
      <w:bookmarkStart w:id="12" w:name="_Toc404773235"/>
      <w:r>
        <w:t>Fluxo Básico</w:t>
      </w:r>
      <w:bookmarkEnd w:id="12"/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Definir Parâmetros de Reversão.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unidade organizacional na qual o ator se logou no sistema e que o Parâmetro de Reversão ao ser incluído pertencerá.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modelos de aposentadoria dos parâmetros de reversão.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 período de vigência do parâmetro de reversão.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as carreiras e itens de carreira que serão aplicados nos parâmetros de reversão.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Para cada carreira e item de carreira aplicado o servidor informa o tempo em anos meses e dias para os seguintes parâmetros: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Tempo limite de aposentadoria; Limite de idade exigido; Tempo de carência para novamente se aposentar.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tempo em que o servidor está aposentado é menor que o tempo limite. Caso sim, fica proibida a reversão caso o  tempo em que o servidor está aposentado tenha ultrapassado o tempo limite.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Para a informação referente ao tempo de carência para novamente se aposentar, o sistema verifica a partir da data da última posse do aposentado. O tempo de carência deve ser exigido quando servidor novamente se aposentar por outra modalidade.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as carreiras e itens de carreira que não serão aplicados nos parâmetros de reversão.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Antes de realizar a inclusão o sistema O sistema verifica se existe alguma vigência para o motivo de reversão informado.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7301EF" w:rsidRDefault="007301EF" w:rsidP="007301EF">
      <w:pPr>
        <w:pStyle w:val="Ttulo3"/>
        <w:keepNext w:val="0"/>
        <w:widowControl w:val="0"/>
        <w:spacing w:before="120" w:line="240" w:lineRule="auto"/>
      </w:pPr>
      <w:bookmarkStart w:id="13" w:name="_Toc404773236"/>
      <w:r>
        <w:t>Exceções</w:t>
      </w:r>
      <w:bookmarkEnd w:id="13"/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informar um período de vigência de uma parâmetro de reversão sendo que o tempo de aposentadoria do servidor é menor aposentado é menor que o tempo limite. O sistema emite a mensagem “Tempo limite menor que o tempo de aposentadoria do servidor”.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informar um período de vigência concomitante com um período ativo. O sistema emite a mensagem “Já existe um parâmetro de reversão para este período”. </w:t>
      </w:r>
    </w:p>
    <w:p w:rsidR="007301EF" w:rsidRDefault="007301EF" w:rsidP="007301EF">
      <w:pPr>
        <w:pStyle w:val="Ttulo4"/>
        <w:numPr>
          <w:ilvl w:val="0"/>
          <w:numId w:val="0"/>
        </w:numPr>
        <w:ind w:left="1080"/>
      </w:pPr>
    </w:p>
    <w:p w:rsidR="00D12F83" w:rsidRPr="00D12F83" w:rsidRDefault="00D12F83" w:rsidP="00D12F83"/>
    <w:p w:rsidR="007301EF" w:rsidRDefault="007301EF" w:rsidP="007301EF">
      <w:pPr>
        <w:pStyle w:val="Recuodecorpodetexto"/>
      </w:pPr>
    </w:p>
    <w:p w:rsidR="007301EF" w:rsidRDefault="007301EF" w:rsidP="00D12F83">
      <w:pPr>
        <w:pStyle w:val="Ttulo2"/>
      </w:pPr>
      <w:bookmarkStart w:id="14" w:name="_Toc404773237"/>
      <w:r>
        <w:t>Alterar Definição dos Parâmetros de Reversão</w:t>
      </w:r>
      <w:bookmarkEnd w:id="14"/>
    </w:p>
    <w:p w:rsidR="007301EF" w:rsidRDefault="007301EF" w:rsidP="007301EF">
      <w:pPr>
        <w:pStyle w:val="Ttulo3"/>
        <w:keepNext w:val="0"/>
        <w:widowControl w:val="0"/>
        <w:spacing w:before="120" w:line="240" w:lineRule="auto"/>
        <w:jc w:val="left"/>
      </w:pPr>
      <w:bookmarkStart w:id="15" w:name="_Toc404773238"/>
      <w:r>
        <w:t>Fluxo Básico</w:t>
      </w:r>
      <w:bookmarkEnd w:id="15"/>
      <w:r>
        <w:t xml:space="preserve"> 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Definir Parâmetros de Reversão.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os dados e submete a operação.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se o registro selecionado refere-se a </w:t>
      </w:r>
      <w:r>
        <w:rPr>
          <w:color w:val="000000"/>
        </w:rPr>
        <w:t>última vigência ativa.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 alteração é retificadora. Caso sim o sistema realiza as regras descritas no anexo item 5.1.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a alteração é retificadora. Caso sim, o ator informa um novo motivo da convocação.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a alteração é retificadora. Caso sim,  o sistema a</w:t>
      </w:r>
      <w:r>
        <w:rPr>
          <w:color w:val="000000"/>
        </w:rPr>
        <w:t>tualiza a data final da vigência anterior ativa com base na nova data inicial da vigência corrente ativa.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verifica se alteração irá criar uma nova vigência para o registro. Caso sim o sistema realiza as regras descritas no anexo item 5.2.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se a alteração está criando uma nova vigência. Caso sim, o sistema </w:t>
      </w:r>
      <w:r>
        <w:rPr>
          <w:color w:val="000000"/>
        </w:rPr>
        <w:t>altera o parâmetro da convocação, gerando um registro com nova data início de vigência.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</w:t>
      </w:r>
      <w:r>
        <w:rPr>
          <w:color w:val="000000"/>
        </w:rPr>
        <w:t>tualiza a data final da vigência anterior ativa com base na data inicial da nova vigência ativa.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7301EF" w:rsidRDefault="007301EF" w:rsidP="007301EF">
      <w:pPr>
        <w:pStyle w:val="Ttulo3"/>
        <w:keepNext w:val="0"/>
        <w:widowControl w:val="0"/>
        <w:spacing w:before="120" w:line="240" w:lineRule="auto"/>
        <w:jc w:val="left"/>
      </w:pPr>
      <w:bookmarkStart w:id="16" w:name="_Toc404773239"/>
      <w:r>
        <w:t>Exceções</w:t>
      </w:r>
      <w:bookmarkEnd w:id="16"/>
      <w:r>
        <w:t xml:space="preserve"> 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alterar a definição de um parâmetro retificador. Sem informar um novo motivo de convocação. O sistema emite a mensagem “É preciso informar um novo parâmetro retificador”.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a data inicial da vigência do parâmetro de reversão maior que a data final de vigência. O sistema emite a mensagem “Data inicial maior que a data final”. </w:t>
      </w:r>
    </w:p>
    <w:p w:rsidR="007301EF" w:rsidRDefault="007301EF" w:rsidP="007301EF">
      <w:pPr>
        <w:pStyle w:val="Ttulo4"/>
        <w:numPr>
          <w:ilvl w:val="0"/>
          <w:numId w:val="0"/>
        </w:numPr>
        <w:ind w:left="1080"/>
      </w:pPr>
    </w:p>
    <w:p w:rsidR="007301EF" w:rsidRDefault="007301EF" w:rsidP="00D12F83">
      <w:pPr>
        <w:pStyle w:val="Ttulo2"/>
      </w:pPr>
      <w:bookmarkStart w:id="17" w:name="_Toc404773240"/>
      <w:r>
        <w:t>Anular Definição do Parâmetros de Reversão</w:t>
      </w:r>
      <w:bookmarkEnd w:id="17"/>
    </w:p>
    <w:p w:rsidR="007301EF" w:rsidRDefault="007301EF" w:rsidP="007301EF">
      <w:pPr>
        <w:pStyle w:val="Ttulo3"/>
        <w:keepNext w:val="0"/>
        <w:widowControl w:val="0"/>
        <w:spacing w:before="120" w:line="240" w:lineRule="auto"/>
      </w:pPr>
      <w:bookmarkStart w:id="18" w:name="_Toc144952690"/>
      <w:bookmarkStart w:id="19" w:name="_Toc404773241"/>
      <w:r>
        <w:t>Fluxo Básico</w:t>
      </w:r>
      <w:bookmarkEnd w:id="18"/>
      <w:bookmarkEnd w:id="19"/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Definir Parâmetros de Reversão.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encontra-se ativo (não anulado).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se existe um parâmetro de reversão de </w:t>
      </w:r>
      <w:r>
        <w:lastRenderedPageBreak/>
        <w:t>aposentadoria associada a um modelo de aposentadoria.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7301EF" w:rsidRDefault="007301EF" w:rsidP="007301EF">
      <w:pPr>
        <w:pStyle w:val="Ttulo3"/>
        <w:keepNext w:val="0"/>
        <w:widowControl w:val="0"/>
        <w:spacing w:before="120" w:line="240" w:lineRule="auto"/>
      </w:pPr>
      <w:bookmarkStart w:id="20" w:name="_Toc144952691"/>
      <w:bookmarkStart w:id="21" w:name="_Toc404773242"/>
      <w:r>
        <w:t>Fluxo alternativo – Registro anulado – 4.4.1.3</w:t>
      </w:r>
      <w:bookmarkEnd w:id="20"/>
      <w:bookmarkEnd w:id="21"/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reativa o parâmetro de reversão de aposentadoria.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processa a operação e exibe a mensagem MSG0019 ("Reativação efetuada com sucesso!").</w:t>
      </w:r>
    </w:p>
    <w:p w:rsidR="007301EF" w:rsidRDefault="007301EF" w:rsidP="007301EF">
      <w:pPr>
        <w:pStyle w:val="Ttulo3"/>
        <w:keepNext w:val="0"/>
        <w:widowControl w:val="0"/>
        <w:spacing w:before="120" w:line="240" w:lineRule="auto"/>
      </w:pPr>
      <w:bookmarkStart w:id="22" w:name="_Toc144952692"/>
      <w:bookmarkStart w:id="23" w:name="_Toc404773243"/>
      <w:r>
        <w:t>Exceções</w:t>
      </w:r>
      <w:bookmarkEnd w:id="22"/>
      <w:bookmarkEnd w:id="23"/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anular fundamentação legal de aposentadoria que está associada a um modelo de aposentadoria. O sistema exibe a mensagem (“Não é possível &lt;tipo_operação&gt; a fundamentação legal de aposentadoria. Fundamentação legal de aposentadoria já associada a um modelo”.).</w:t>
      </w:r>
    </w:p>
    <w:p w:rsidR="007301EF" w:rsidRDefault="007301EF" w:rsidP="007301EF"/>
    <w:p w:rsidR="007301EF" w:rsidRDefault="007301EF" w:rsidP="00D12F83">
      <w:pPr>
        <w:pStyle w:val="Ttulo2"/>
      </w:pPr>
      <w:bookmarkStart w:id="24" w:name="_Toc404773244"/>
      <w:r>
        <w:t>Excluir Definição dos Parâmetros de Reversão</w:t>
      </w:r>
      <w:bookmarkEnd w:id="24"/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Definir Parâmetros de Reversão.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existe um Parâmetro de Reversão de aposentadoria associado à uma aposentadoria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7301EF" w:rsidRDefault="007301EF" w:rsidP="007301EF">
      <w:pPr>
        <w:pStyle w:val="Ttulo3"/>
        <w:keepNext w:val="0"/>
        <w:widowControl w:val="0"/>
        <w:spacing w:before="120" w:line="240" w:lineRule="auto"/>
      </w:pPr>
      <w:bookmarkStart w:id="25" w:name="_Toc144952688"/>
      <w:bookmarkStart w:id="26" w:name="_Toc404773245"/>
      <w:r>
        <w:t>Exceções</w:t>
      </w:r>
      <w:bookmarkEnd w:id="25"/>
      <w:bookmarkEnd w:id="26"/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em Parâmetro de Reversão que está associada a um modelo de aposentadoria. O sistema exibe a mensagem (“Não é possível &lt;tipo_operação&gt;, o parâmetro de reversão de aposentadoria).</w:t>
      </w:r>
    </w:p>
    <w:p w:rsidR="00D12F83" w:rsidRDefault="00D12F83">
      <w:pPr>
        <w:spacing w:line="240" w:lineRule="auto"/>
        <w:ind w:left="0"/>
        <w:jc w:val="left"/>
      </w:pPr>
      <w:r>
        <w:br w:type="page"/>
      </w:r>
    </w:p>
    <w:p w:rsidR="007301EF" w:rsidRDefault="007301EF" w:rsidP="007301E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7" w:name="_Toc404773246"/>
      <w:r>
        <w:rPr>
          <w:rFonts w:eastAsia="Arial Unicode MS"/>
        </w:rPr>
        <w:lastRenderedPageBreak/>
        <w:t>Anexos</w:t>
      </w:r>
      <w:bookmarkEnd w:id="27"/>
    </w:p>
    <w:p w:rsidR="007301EF" w:rsidRDefault="007301EF" w:rsidP="00D12F83">
      <w:pPr>
        <w:pStyle w:val="Ttulo2"/>
        <w:rPr>
          <w:rFonts w:eastAsia="Arial Unicode MS"/>
        </w:rPr>
      </w:pPr>
      <w:bookmarkStart w:id="28" w:name="_Toc404773247"/>
      <w:r>
        <w:t>Caso se trate de uma alteração retificadora:</w:t>
      </w:r>
      <w:bookmarkEnd w:id="28"/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Caso o período de vigência corrente não seja retificado, os históricos de convocações existentes, no período da vigência corrente, devem estar consistentes com as novas alterações.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Caso o período de vigência corrente seja retificado,  os históricos de convocações existentes, dentro do novo período considerado, devem estar consistentes com as novas alterações ou com os parâmetros já existentes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Caso o período de vigência corrente seja retificado, os históricos de convocações existentes, dentro do novo período considerado, devem estar consistentes com as novas alterações ou com os parâmetros já existentes.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rFonts w:eastAsia="Arial Unicode MS"/>
        </w:rPr>
      </w:pPr>
      <w:r>
        <w:t>Caso o período de vigência corrente seja retificado, os históricos de convocações existentes, dentro do período desconsiderado, devem estar consistentes com os parâmetros já existentes na vigência anterior.</w:t>
      </w:r>
    </w:p>
    <w:p w:rsidR="007301EF" w:rsidRDefault="007301EF" w:rsidP="007301EF">
      <w:pPr>
        <w:pStyle w:val="Ttulo4"/>
        <w:numPr>
          <w:ilvl w:val="0"/>
          <w:numId w:val="0"/>
        </w:numPr>
        <w:ind w:left="1080"/>
        <w:rPr>
          <w:rFonts w:eastAsia="Arial Unicode MS"/>
        </w:rPr>
      </w:pPr>
    </w:p>
    <w:p w:rsidR="007301EF" w:rsidRDefault="007301EF" w:rsidP="00D12F83">
      <w:pPr>
        <w:pStyle w:val="Ttulo2"/>
      </w:pPr>
      <w:bookmarkStart w:id="29" w:name="_Toc404773248"/>
      <w:r>
        <w:t>Caso não se trate de uma alteração retificadora (evolução)</w:t>
      </w:r>
      <w:bookmarkEnd w:id="29"/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rFonts w:eastAsia="Arial Unicode MS"/>
        </w:rPr>
      </w:pPr>
      <w:r>
        <w:rPr>
          <w:color w:val="000000"/>
        </w:rPr>
        <w:t>Uma nova data inicio de vigência deve ser exigida.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rFonts w:eastAsia="Arial Unicode MS"/>
        </w:rPr>
      </w:pPr>
      <w:r>
        <w:rPr>
          <w:rFonts w:eastAsia="Arial Unicode MS"/>
        </w:rPr>
        <w:t>A nova data início da vigência deve ser maior que a data início da vigência atual.</w:t>
      </w:r>
    </w:p>
    <w:p w:rsidR="007301EF" w:rsidRDefault="007301EF" w:rsidP="007301EF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rFonts w:eastAsia="Arial Unicode MS"/>
        </w:rPr>
      </w:pPr>
      <w:r>
        <w:rPr>
          <w:rFonts w:eastAsia="Arial Unicode MS"/>
        </w:rPr>
        <w:t>Os históricos de convocações existentes, dentro do novo período considerado, devem estar consistentes com as novas alterações</w:t>
      </w:r>
    </w:p>
    <w:p w:rsidR="007301EF" w:rsidRDefault="007301EF" w:rsidP="007301EF">
      <w:pPr>
        <w:rPr>
          <w:rFonts w:eastAsia="Arial Unicode MS"/>
        </w:rPr>
      </w:pPr>
    </w:p>
    <w:sectPr w:rsidR="007301EF" w:rsidSect="00D12F83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567" w:footer="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01EF" w:rsidRDefault="007301EF" w:rsidP="002908D9">
      <w:r>
        <w:separator/>
      </w:r>
    </w:p>
  </w:endnote>
  <w:endnote w:type="continuationSeparator" w:id="0">
    <w:p w:rsidR="007301EF" w:rsidRDefault="007301E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12F8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301E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12F8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12F83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12F8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301EF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301EF">
            <w:rPr>
              <w:b/>
              <w:sz w:val="20"/>
              <w:szCs w:val="20"/>
            </w:rPr>
            <w:t xml:space="preserve"> 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12F83" w:rsidRPr="00D12F83">
            <w:rPr>
              <w:b/>
              <w:sz w:val="20"/>
              <w:szCs w:val="20"/>
            </w:rPr>
            <w:t>UCS0546 - Manter Motivos de Convocação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0DA47D" wp14:editId="1A6C12C6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01EF" w:rsidRDefault="007301EF" w:rsidP="002908D9">
      <w:r>
        <w:separator/>
      </w:r>
    </w:p>
  </w:footnote>
  <w:footnote w:type="continuationSeparator" w:id="0">
    <w:p w:rsidR="007301EF" w:rsidRDefault="007301E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D12F83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4B24EC5" wp14:editId="2784D314">
          <wp:simplePos x="0" y="0"/>
          <wp:positionH relativeFrom="column">
            <wp:posOffset>4324350</wp:posOffset>
          </wp:positionH>
          <wp:positionV relativeFrom="paragraph">
            <wp:posOffset>-33655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DA2753E" wp14:editId="4C78903B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84216ED" wp14:editId="2A7666B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B4FC53D" wp14:editId="5E4E7C91">
          <wp:simplePos x="0" y="0"/>
          <wp:positionH relativeFrom="column">
            <wp:posOffset>4486275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42728AB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1E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176C9"/>
    <w:rsid w:val="00550536"/>
    <w:rsid w:val="0059301A"/>
    <w:rsid w:val="005D35E4"/>
    <w:rsid w:val="00616D7E"/>
    <w:rsid w:val="00623E87"/>
    <w:rsid w:val="00652148"/>
    <w:rsid w:val="007301EF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12F83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01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301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2F8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301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301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301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301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301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301EF"/>
    <w:pPr>
      <w:ind w:left="0"/>
    </w:pPr>
  </w:style>
  <w:style w:type="paragraph" w:styleId="ndicedeilustraes">
    <w:name w:val="table of figures"/>
    <w:basedOn w:val="Normal"/>
    <w:next w:val="Normal"/>
    <w:semiHidden/>
    <w:rsid w:val="007301EF"/>
  </w:style>
  <w:style w:type="paragraph" w:styleId="Sumrio2">
    <w:name w:val="toc 2"/>
    <w:basedOn w:val="Normal"/>
    <w:next w:val="Normal"/>
    <w:autoRedefine/>
    <w:uiPriority w:val="39"/>
    <w:rsid w:val="007301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301EF"/>
    <w:pPr>
      <w:ind w:left="480"/>
    </w:pPr>
  </w:style>
  <w:style w:type="character" w:styleId="Hyperlink">
    <w:name w:val="Hyperlink"/>
    <w:basedOn w:val="Fontepargpadro"/>
    <w:uiPriority w:val="99"/>
    <w:rsid w:val="007301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301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301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301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301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301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301EF"/>
    <w:rPr>
      <w:sz w:val="16"/>
    </w:rPr>
  </w:style>
  <w:style w:type="character" w:styleId="Nmerodepgina">
    <w:name w:val="page number"/>
    <w:basedOn w:val="Fontepargpadro"/>
    <w:rsid w:val="007301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301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301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1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301EF"/>
  </w:style>
  <w:style w:type="paragraph" w:styleId="Corpodetexto">
    <w:name w:val="Body Text"/>
    <w:basedOn w:val="Normal"/>
    <w:link w:val="CorpodetextoChar"/>
    <w:rsid w:val="007301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301EF"/>
    <w:rPr>
      <w:rFonts w:eastAsia="Arial Unicode MS"/>
    </w:rPr>
  </w:style>
  <w:style w:type="paragraph" w:customStyle="1" w:styleId="tabletext">
    <w:name w:val="tabletext"/>
    <w:basedOn w:val="Normal"/>
    <w:rsid w:val="007301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301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301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301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301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301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301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301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301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301E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01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301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2F8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301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301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301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301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301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301EF"/>
    <w:pPr>
      <w:ind w:left="0"/>
    </w:pPr>
  </w:style>
  <w:style w:type="paragraph" w:styleId="ndicedeilustraes">
    <w:name w:val="table of figures"/>
    <w:basedOn w:val="Normal"/>
    <w:next w:val="Normal"/>
    <w:semiHidden/>
    <w:rsid w:val="007301EF"/>
  </w:style>
  <w:style w:type="paragraph" w:styleId="Sumrio2">
    <w:name w:val="toc 2"/>
    <w:basedOn w:val="Normal"/>
    <w:next w:val="Normal"/>
    <w:autoRedefine/>
    <w:uiPriority w:val="39"/>
    <w:rsid w:val="007301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301EF"/>
    <w:pPr>
      <w:ind w:left="480"/>
    </w:pPr>
  </w:style>
  <w:style w:type="character" w:styleId="Hyperlink">
    <w:name w:val="Hyperlink"/>
    <w:basedOn w:val="Fontepargpadro"/>
    <w:uiPriority w:val="99"/>
    <w:rsid w:val="007301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301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301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301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301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301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301EF"/>
    <w:rPr>
      <w:sz w:val="16"/>
    </w:rPr>
  </w:style>
  <w:style w:type="character" w:styleId="Nmerodepgina">
    <w:name w:val="page number"/>
    <w:basedOn w:val="Fontepargpadro"/>
    <w:rsid w:val="007301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301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301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1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301EF"/>
  </w:style>
  <w:style w:type="paragraph" w:styleId="Corpodetexto">
    <w:name w:val="Body Text"/>
    <w:basedOn w:val="Normal"/>
    <w:link w:val="CorpodetextoChar"/>
    <w:rsid w:val="007301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301EF"/>
    <w:rPr>
      <w:rFonts w:eastAsia="Arial Unicode MS"/>
    </w:rPr>
  </w:style>
  <w:style w:type="paragraph" w:customStyle="1" w:styleId="tabletext">
    <w:name w:val="tabletext"/>
    <w:basedOn w:val="Normal"/>
    <w:rsid w:val="007301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301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301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301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301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301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301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301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301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301E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37D84-EE9B-454A-8FE1-B5BAD1B11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9</Pages>
  <Words>1280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9345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2014-11-08T04:44:00Z</cp:lastPrinted>
  <dcterms:created xsi:type="dcterms:W3CDTF">2014-11-08T04:44:00Z</dcterms:created>
  <dcterms:modified xsi:type="dcterms:W3CDTF">2014-11-26T15:51:00Z</dcterms:modified>
</cp:coreProperties>
</file>