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772C" w:rsidRDefault="00A7772C" w:rsidP="00A7772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7772C" w:rsidRDefault="00A7772C" w:rsidP="00A7772C">
      <w:pPr>
        <w:widowControl w:val="0"/>
        <w:rPr>
          <w:rFonts w:cs="Arial"/>
          <w:sz w:val="20"/>
          <w:u w:val="single"/>
        </w:rPr>
      </w:pPr>
    </w:p>
    <w:p w:rsidR="00A7772C" w:rsidRDefault="00A7772C" w:rsidP="00A7772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widowControl w:val="0"/>
        <w:rPr>
          <w:rFonts w:cs="Arial"/>
          <w:sz w:val="20"/>
        </w:rPr>
      </w:pPr>
    </w:p>
    <w:p w:rsidR="00A7772C" w:rsidRDefault="00A7772C" w:rsidP="00A7772C">
      <w:pPr>
        <w:widowControl w:val="0"/>
        <w:rPr>
          <w:rFonts w:cs="Arial"/>
        </w:rPr>
      </w:pPr>
    </w:p>
    <w:p w:rsidR="00A7772C" w:rsidRDefault="00A7772C" w:rsidP="00A7772C">
      <w:pPr>
        <w:pStyle w:val="Capa"/>
        <w:rPr>
          <w:color w:val="FF9900"/>
        </w:rPr>
      </w:pPr>
      <w:r>
        <w:t>SINDRAPE</w:t>
      </w:r>
    </w:p>
    <w:p w:rsidR="00A7772C" w:rsidRDefault="00A7772C" w:rsidP="00A7772C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7772C" w:rsidRPr="00A7772C" w:rsidRDefault="00A7772C" w:rsidP="00A7772C">
      <w:pPr>
        <w:widowControl w:val="0"/>
        <w:rPr>
          <w:color w:val="000080"/>
        </w:rPr>
      </w:pPr>
    </w:p>
    <w:p w:rsidR="00A7772C" w:rsidRPr="00A7772C" w:rsidRDefault="00A7772C" w:rsidP="00A7772C">
      <w:pPr>
        <w:widowControl w:val="0"/>
        <w:jc w:val="right"/>
        <w:rPr>
          <w:rFonts w:cs="Arial"/>
          <w:b/>
          <w:bCs/>
          <w:color w:val="000080"/>
        </w:rPr>
      </w:pPr>
    </w:p>
    <w:p w:rsidR="00A7772C" w:rsidRDefault="00A7772C" w:rsidP="00A7772C">
      <w:pPr>
        <w:pStyle w:val="Capa"/>
      </w:pPr>
      <w:r>
        <w:t>UCS0070</w:t>
      </w:r>
      <w:r w:rsidR="001D6A58">
        <w:t xml:space="preserve"> </w:t>
      </w:r>
      <w:r>
        <w:t>– Homologar Freqüências</w:t>
      </w:r>
    </w:p>
    <w:p w:rsidR="00A7772C" w:rsidRDefault="00A7772C" w:rsidP="00A7772C">
      <w:pPr>
        <w:widowControl w:val="0"/>
        <w:rPr>
          <w:rFonts w:cs="Arial"/>
        </w:rPr>
      </w:pPr>
    </w:p>
    <w:p w:rsidR="00A7772C" w:rsidRDefault="00A7772C" w:rsidP="00A7772C">
      <w:pPr>
        <w:widowControl w:val="0"/>
      </w:pPr>
    </w:p>
    <w:p w:rsidR="00A7772C" w:rsidRDefault="00A7772C" w:rsidP="00A7772C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7772C" w:rsidRPr="00A7772C" w:rsidRDefault="00A7772C" w:rsidP="00A7772C">
      <w:pPr>
        <w:pStyle w:val="Corpodetexto3"/>
        <w:widowControl w:val="0"/>
        <w:spacing w:after="0"/>
        <w:rPr>
          <w:rFonts w:cs="Arial"/>
        </w:rPr>
      </w:pPr>
      <w:r w:rsidRPr="00A7772C">
        <w:rPr>
          <w:rFonts w:cs="Arial"/>
        </w:rPr>
        <w:lastRenderedPageBreak/>
        <w:t>Histórico de Revisões</w:t>
      </w:r>
    </w:p>
    <w:p w:rsidR="00A7772C" w:rsidRDefault="00A7772C" w:rsidP="00A7772C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4"/>
        <w:gridCol w:w="999"/>
        <w:gridCol w:w="2942"/>
        <w:gridCol w:w="1770"/>
        <w:gridCol w:w="2056"/>
      </w:tblGrid>
      <w:tr w:rsidR="00A7772C" w:rsidTr="00A7772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7772C" w:rsidTr="00A7772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10/04/2006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A7772C" w:rsidTr="00A7772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18/02/2008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2.0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Alterações em decorrência da reavaliação do módulo.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Tatiane Tomasi Rocha</w:t>
            </w:r>
          </w:p>
        </w:tc>
      </w:tr>
      <w:tr w:rsidR="00A7772C" w:rsidTr="00A7772C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17/02/2009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v2</w:t>
            </w:r>
          </w:p>
        </w:tc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Versão DocsOpen entregue.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72C" w:rsidRDefault="00A7772C" w:rsidP="00A7772C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</w:tbl>
    <w:p w:rsidR="00A7772C" w:rsidRDefault="00A7772C" w:rsidP="00A7772C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7772C" w:rsidRPr="00A7772C" w:rsidRDefault="00A7772C" w:rsidP="00A7772C">
      <w:pPr>
        <w:pStyle w:val="Corpodetexto3"/>
        <w:widowControl w:val="0"/>
        <w:spacing w:after="0"/>
        <w:jc w:val="left"/>
        <w:rPr>
          <w:rFonts w:cs="Arial"/>
        </w:rPr>
      </w:pPr>
      <w:r w:rsidRPr="00A7772C">
        <w:rPr>
          <w:rFonts w:cs="Arial"/>
        </w:rPr>
        <w:lastRenderedPageBreak/>
        <w:t>Índice</w:t>
      </w:r>
    </w:p>
    <w:p w:rsidR="00A7772C" w:rsidRPr="00A7772C" w:rsidRDefault="00A7772C" w:rsidP="00A7772C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D6A58" w:rsidRDefault="00A7772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441835" w:history="1">
        <w:r w:rsidR="001D6A58" w:rsidRPr="00E5786A">
          <w:rPr>
            <w:rStyle w:val="Hyperlink"/>
            <w:noProof/>
          </w:rPr>
          <w:t>1.</w:t>
        </w:r>
        <w:r w:rsidR="001D6A5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D6A58" w:rsidRPr="00E5786A">
          <w:rPr>
            <w:rStyle w:val="Hyperlink"/>
            <w:noProof/>
          </w:rPr>
          <w:t>Pacote/Caso de Uso</w:t>
        </w:r>
        <w:r w:rsidR="001D6A58">
          <w:rPr>
            <w:noProof/>
            <w:webHidden/>
          </w:rPr>
          <w:tab/>
        </w:r>
        <w:r w:rsidR="001D6A58">
          <w:rPr>
            <w:noProof/>
            <w:webHidden/>
          </w:rPr>
          <w:fldChar w:fldCharType="begin"/>
        </w:r>
        <w:r w:rsidR="001D6A58">
          <w:rPr>
            <w:noProof/>
            <w:webHidden/>
          </w:rPr>
          <w:instrText xml:space="preserve"> PAGEREF _Toc404441835 \h </w:instrText>
        </w:r>
        <w:r w:rsidR="001D6A58">
          <w:rPr>
            <w:noProof/>
            <w:webHidden/>
          </w:rPr>
        </w:r>
        <w:r w:rsidR="001D6A58">
          <w:rPr>
            <w:noProof/>
            <w:webHidden/>
          </w:rPr>
          <w:fldChar w:fldCharType="separate"/>
        </w:r>
        <w:r w:rsidR="001D6A58">
          <w:rPr>
            <w:noProof/>
            <w:webHidden/>
          </w:rPr>
          <w:t>5</w:t>
        </w:r>
        <w:r w:rsidR="001D6A58"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36" w:history="1">
        <w:r w:rsidRPr="00E5786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37" w:history="1">
        <w:r w:rsidRPr="00E5786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38" w:history="1">
        <w:r w:rsidRPr="00E5786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39" w:history="1">
        <w:r w:rsidRPr="00E5786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0" w:history="1">
        <w:r w:rsidRPr="00E5786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1" w:history="1">
        <w:r w:rsidRPr="00E5786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2" w:history="1">
        <w:r w:rsidRPr="00E5786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Homologar Registros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3" w:history="1">
        <w:r w:rsidRPr="00E5786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4" w:history="1">
        <w:r w:rsidRPr="00E5786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Cancelar homologação de Registros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5" w:history="1">
        <w:r w:rsidRPr="00E5786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6" w:history="1">
        <w:r w:rsidRPr="00E5786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Listar Registros de Freqüências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7" w:history="1">
        <w:r w:rsidRPr="00E5786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8" w:history="1">
        <w:r w:rsidRPr="00E5786A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Fluxo Alternativo – Listagem de servidores sem jornada, escala e enturmação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49" w:history="1">
        <w:r w:rsidRPr="00E5786A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Fluxo Alternativo – Detalhamento analítico da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0" w:history="1">
        <w:r w:rsidRPr="00E5786A">
          <w:rPr>
            <w:rStyle w:val="Hyperlink"/>
            <w:noProof/>
          </w:rPr>
          <w:t>4.3.4.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Fluxo Alternativo – Detalhamento sintético da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1" w:history="1">
        <w:r w:rsidRPr="00E5786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Detalhar freqüências de forma analítica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2" w:history="1">
        <w:r w:rsidRPr="00E5786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3" w:history="1">
        <w:r w:rsidRPr="00E5786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4" w:history="1">
        <w:r w:rsidRPr="00E5786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RN01: Verificar se o órgão exige homologação de freqüência para jornadas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5" w:history="1">
        <w:r w:rsidRPr="00E5786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RN02: Verificar se o órgão exige homologação de freqüência para escalas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6" w:history="1">
        <w:r w:rsidRPr="00E5786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RN03: Verificar se o órgão exige homologação de freqüência para enturmações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7" w:history="1">
        <w:r w:rsidRPr="00E5786A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RN04: Verificar se a unidade organizacional informada pertence ao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8" w:history="1">
        <w:r w:rsidRPr="00E5786A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RN05: Validar o mês/ano informado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59" w:history="1">
        <w:r w:rsidRPr="00E5786A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RN06: Validar a data de homologação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0" w:history="1">
        <w:r w:rsidRPr="00E5786A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RN07: Validar a data do cancelamento da homologação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1" w:history="1">
        <w:r w:rsidRPr="00E5786A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RN08: Verificar se a freqüência já foi homologada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2" w:history="1">
        <w:r w:rsidRPr="00E5786A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RN09: Verificar se a freqüência não foi homologada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3" w:history="1">
        <w:r w:rsidRPr="00E5786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4" w:history="1">
        <w:r w:rsidRPr="00E5786A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Localizar período de apuração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5" w:history="1">
        <w:r w:rsidRPr="00E5786A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  <w:highlight w:val="lightGray"/>
          </w:rPr>
          <w:t>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6" w:history="1">
        <w:r w:rsidRPr="00E5786A">
          <w:rPr>
            <w:rStyle w:val="Hyperlink"/>
            <w:noProof/>
          </w:rPr>
          <w:t>6.2.1.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Abrangência na inclusão da presença em lote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7" w:history="1">
        <w:r w:rsidRPr="00E5786A">
          <w:rPr>
            <w:rStyle w:val="Hyperlink"/>
            <w:noProof/>
          </w:rPr>
          <w:t>6.2.2.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Abrangência na exclusão da presença em lote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8" w:history="1">
        <w:r w:rsidRPr="00E5786A">
          <w:rPr>
            <w:rStyle w:val="Hyperlink"/>
            <w:noProof/>
          </w:rPr>
          <w:t>6.2.3.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D6A58" w:rsidRDefault="001D6A5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441869" w:history="1">
        <w:r w:rsidRPr="00E5786A">
          <w:rPr>
            <w:rStyle w:val="Hyperlink"/>
            <w:noProof/>
          </w:rPr>
          <w:t>6.2.4.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5786A">
          <w:rPr>
            <w:rStyle w:val="Hyperlink"/>
            <w:noProof/>
          </w:rPr>
          <w:t>Abrangência na pesquisa auxiliar de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_Toc404441869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7772C" w:rsidRDefault="00A7772C" w:rsidP="00A7772C">
      <w:pPr>
        <w:pStyle w:val="Sumrio1"/>
      </w:pPr>
      <w:r>
        <w:fldChar w:fldCharType="end"/>
      </w:r>
    </w:p>
    <w:p w:rsidR="00A7772C" w:rsidRDefault="00A7772C" w:rsidP="00A7772C">
      <w:pPr>
        <w:widowControl w:val="0"/>
        <w:rPr>
          <w:rFonts w:cs="Arial"/>
          <w:b/>
          <w:bCs/>
          <w:color w:val="000000"/>
        </w:rPr>
      </w:pPr>
    </w:p>
    <w:p w:rsidR="00A7772C" w:rsidRDefault="00A7772C" w:rsidP="00A7772C">
      <w:pPr>
        <w:pStyle w:val="Heading"/>
        <w:rPr>
          <w:rFonts w:cs="Arial"/>
          <w:szCs w:val="24"/>
          <w:lang w:val="pt-BR"/>
        </w:rPr>
      </w:pPr>
    </w:p>
    <w:p w:rsidR="00A7772C" w:rsidRDefault="00A7772C" w:rsidP="00A7772C">
      <w:pPr>
        <w:pStyle w:val="Heading"/>
      </w:pPr>
    </w:p>
    <w:p w:rsidR="00A7772C" w:rsidRDefault="00A7772C" w:rsidP="00A7772C">
      <w:pPr>
        <w:pStyle w:val="Heading"/>
        <w:jc w:val="center"/>
      </w:pPr>
    </w:p>
    <w:p w:rsidR="00A7772C" w:rsidRDefault="00A7772C" w:rsidP="00A7772C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7772C" w:rsidRDefault="00A7772C" w:rsidP="00A7772C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441835"/>
      <w:r>
        <w:lastRenderedPageBreak/>
        <w:t>Pacote/Caso de Uso</w:t>
      </w:r>
      <w:bookmarkEnd w:id="1"/>
    </w:p>
    <w:p w:rsidR="00A7772C" w:rsidRDefault="00A7772C" w:rsidP="00A7772C"/>
    <w:p w:rsidR="00A7772C" w:rsidRDefault="00A7772C" w:rsidP="00A7772C">
      <w:pPr>
        <w:widowControl w:val="0"/>
        <w:ind w:left="360"/>
        <w:rPr>
          <w:rFonts w:ascii="Arial (W1)" w:hAnsi="Arial (W1)" w:cs="Arial"/>
          <w:b/>
          <w:bCs/>
          <w:color w:val="000080"/>
          <w:sz w:val="28"/>
        </w:rPr>
      </w:pPr>
      <w:r>
        <w:rPr>
          <w:rFonts w:ascii="Arial (W1)" w:hAnsi="Arial (W1)" w:cs="Arial"/>
          <w:b/>
          <w:bCs/>
          <w:color w:val="000080"/>
          <w:sz w:val="28"/>
        </w:rPr>
        <w:t>Homologar Freqüência</w:t>
      </w:r>
    </w:p>
    <w:p w:rsidR="00A7772C" w:rsidRDefault="00A7772C" w:rsidP="00A7772C">
      <w:pPr>
        <w:widowControl w:val="0"/>
        <w:ind w:left="902"/>
        <w:rPr>
          <w:rFonts w:cs="Arial"/>
          <w:b/>
          <w:bCs/>
          <w:color w:val="FF0000"/>
        </w:rPr>
      </w:pPr>
    </w:p>
    <w:p w:rsidR="00A7772C" w:rsidRDefault="00A7772C" w:rsidP="001D6A58">
      <w:pPr>
        <w:pStyle w:val="Ttulo2"/>
      </w:pPr>
      <w:bookmarkStart w:id="2" w:name="_Toc404441836"/>
      <w:r>
        <w:t>Descrição</w:t>
      </w:r>
      <w:bookmarkEnd w:id="2"/>
    </w:p>
    <w:p w:rsidR="00A7772C" w:rsidRDefault="00A7772C" w:rsidP="00A7772C">
      <w:pPr>
        <w:pStyle w:val="Recuodecorpodetexto2"/>
        <w:widowControl w:val="0"/>
        <w:ind w:left="1620" w:firstLine="0"/>
        <w:rPr>
          <w:sz w:val="24"/>
        </w:rPr>
      </w:pPr>
    </w:p>
    <w:p w:rsidR="00A7772C" w:rsidRDefault="00A7772C" w:rsidP="00A7772C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homologação dos registros de freqüência dos servidores.</w:t>
      </w:r>
    </w:p>
    <w:p w:rsidR="00A7772C" w:rsidRDefault="00A7772C" w:rsidP="00A7772C">
      <w:pPr>
        <w:pStyle w:val="Recuodecorpodetexto2"/>
        <w:widowControl w:val="0"/>
        <w:ind w:left="1620" w:firstLine="0"/>
        <w:rPr>
          <w:sz w:val="24"/>
        </w:rPr>
      </w:pPr>
    </w:p>
    <w:p w:rsidR="00A7772C" w:rsidRDefault="00A7772C" w:rsidP="001D6A58">
      <w:pPr>
        <w:pStyle w:val="Ttulo2"/>
      </w:pPr>
      <w:bookmarkStart w:id="3" w:name="_Toc404441837"/>
      <w:r>
        <w:t>Requisitos atendidos</w:t>
      </w:r>
      <w:bookmarkEnd w:id="3"/>
    </w:p>
    <w:p w:rsidR="00A7772C" w:rsidRDefault="00A7772C" w:rsidP="00A7772C"/>
    <w:p w:rsidR="00A7772C" w:rsidRDefault="00A7772C" w:rsidP="00A7772C">
      <w:pPr>
        <w:pStyle w:val="Recuodecorpodetexto"/>
        <w:ind w:left="1260"/>
      </w:pPr>
      <w:r>
        <w:t>R10 - Homologar freqüência</w:t>
      </w:r>
    </w:p>
    <w:p w:rsidR="00A7772C" w:rsidRDefault="00A7772C" w:rsidP="00A7772C"/>
    <w:p w:rsidR="00A7772C" w:rsidRDefault="00A7772C" w:rsidP="00A7772C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441838"/>
      <w:r>
        <w:t>Conceito</w:t>
      </w:r>
      <w:bookmarkEnd w:id="4"/>
      <w:r>
        <w:tab/>
      </w:r>
    </w:p>
    <w:p w:rsidR="00A7772C" w:rsidRDefault="00A7772C" w:rsidP="00A7772C"/>
    <w:p w:rsidR="00A7772C" w:rsidRDefault="00A7772C" w:rsidP="001D6A58">
      <w:pPr>
        <w:pStyle w:val="Ttulo2"/>
      </w:pPr>
      <w:bookmarkStart w:id="5" w:name="_Toc404441839"/>
      <w:r>
        <w:t>Conceitos principais</w:t>
      </w:r>
      <w:bookmarkEnd w:id="5"/>
    </w:p>
    <w:p w:rsidR="00A7772C" w:rsidRDefault="00A7772C" w:rsidP="00A7772C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328"/>
        <w:gridCol w:w="4742"/>
      </w:tblGrid>
      <w:tr w:rsidR="00A7772C" w:rsidTr="00FF700E">
        <w:trPr>
          <w:trHeight w:val="600"/>
        </w:trPr>
        <w:tc>
          <w:tcPr>
            <w:tcW w:w="4328" w:type="dxa"/>
          </w:tcPr>
          <w:p w:rsidR="00A7772C" w:rsidRDefault="00A7772C" w:rsidP="00A7772C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homologação de freqüência das escalas de serviço</w:t>
            </w:r>
          </w:p>
        </w:tc>
        <w:tc>
          <w:tcPr>
            <w:tcW w:w="4742" w:type="dxa"/>
          </w:tcPr>
          <w:p w:rsidR="00A7772C" w:rsidRDefault="00A7772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Homologações dos registros de freqüência das escalas de serviços.</w:t>
            </w:r>
          </w:p>
        </w:tc>
      </w:tr>
      <w:tr w:rsidR="00A7772C" w:rsidTr="00FF700E">
        <w:trPr>
          <w:trHeight w:val="600"/>
        </w:trPr>
        <w:tc>
          <w:tcPr>
            <w:tcW w:w="4328" w:type="dxa"/>
          </w:tcPr>
          <w:p w:rsidR="00A7772C" w:rsidRDefault="00A7772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homologação de freqüência das enturmações</w:t>
            </w:r>
          </w:p>
        </w:tc>
        <w:tc>
          <w:tcPr>
            <w:tcW w:w="4742" w:type="dxa"/>
          </w:tcPr>
          <w:p w:rsidR="00A7772C" w:rsidRDefault="00A7772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Homologações dos registros de freqüência das enturmações.</w:t>
            </w:r>
          </w:p>
        </w:tc>
      </w:tr>
      <w:tr w:rsidR="00A7772C" w:rsidTr="00FF700E">
        <w:trPr>
          <w:trHeight w:val="600"/>
        </w:trPr>
        <w:tc>
          <w:tcPr>
            <w:tcW w:w="4328" w:type="dxa"/>
          </w:tcPr>
          <w:p w:rsidR="00A7772C" w:rsidRDefault="00A7772C" w:rsidP="00FF700E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homologação de freqüência das jornadas de trabalho</w:t>
            </w:r>
          </w:p>
        </w:tc>
        <w:tc>
          <w:tcPr>
            <w:tcW w:w="4742" w:type="dxa"/>
          </w:tcPr>
          <w:p w:rsidR="00A7772C" w:rsidRDefault="00A7772C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Homologações dos registros de freqüência das jornadas de trabalho.</w:t>
            </w:r>
          </w:p>
        </w:tc>
      </w:tr>
    </w:tbl>
    <w:p w:rsidR="00A7772C" w:rsidRDefault="00A7772C" w:rsidP="00A7772C">
      <w:pPr>
        <w:pStyle w:val="Cabealho"/>
        <w:rPr>
          <w:rFonts w:cs="Arial"/>
        </w:rPr>
      </w:pPr>
    </w:p>
    <w:p w:rsidR="00A7772C" w:rsidRDefault="00A7772C" w:rsidP="00A7772C">
      <w:pPr>
        <w:rPr>
          <w:rFonts w:cs="Arial"/>
        </w:rPr>
      </w:pPr>
    </w:p>
    <w:p w:rsidR="00A7772C" w:rsidRDefault="00A7772C" w:rsidP="00A7772C">
      <w:pPr>
        <w:rPr>
          <w:rFonts w:eastAsia="Arial Unicode MS"/>
        </w:rPr>
      </w:pPr>
    </w:p>
    <w:p w:rsidR="00A7772C" w:rsidRDefault="00A7772C" w:rsidP="00A7772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4441840"/>
      <w:r>
        <w:lastRenderedPageBreak/>
        <w:t>Diagrama</w:t>
      </w:r>
      <w:bookmarkEnd w:id="6"/>
    </w:p>
    <w:p w:rsidR="00A7772C" w:rsidRDefault="001D6A58" w:rsidP="00A7772C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393EA389" wp14:editId="33149ED4">
            <wp:simplePos x="0" y="0"/>
            <wp:positionH relativeFrom="column">
              <wp:posOffset>-222885</wp:posOffset>
            </wp:positionH>
            <wp:positionV relativeFrom="paragraph">
              <wp:posOffset>370205</wp:posOffset>
            </wp:positionV>
            <wp:extent cx="6002020" cy="3419475"/>
            <wp:effectExtent l="0" t="0" r="0" b="952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772C" w:rsidRDefault="00A7772C" w:rsidP="00A7772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7772C" w:rsidRDefault="00A7772C" w:rsidP="00A7772C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7772C" w:rsidRDefault="00A7772C" w:rsidP="00A7772C">
      <w:pPr>
        <w:widowControl w:val="0"/>
        <w:ind w:left="0"/>
        <w:jc w:val="center"/>
        <w:rPr>
          <w:rFonts w:cs="Arial"/>
        </w:rPr>
      </w:pPr>
    </w:p>
    <w:p w:rsidR="00A7772C" w:rsidRDefault="00A7772C" w:rsidP="00A7772C">
      <w:pPr>
        <w:widowControl w:val="0"/>
        <w:jc w:val="center"/>
        <w:rPr>
          <w:rFonts w:cs="Arial"/>
        </w:rPr>
      </w:pPr>
    </w:p>
    <w:p w:rsidR="00A7772C" w:rsidRDefault="00A7772C" w:rsidP="00A7772C">
      <w:pPr>
        <w:widowControl w:val="0"/>
        <w:jc w:val="center"/>
        <w:rPr>
          <w:rFonts w:cs="Arial"/>
        </w:rPr>
      </w:pPr>
    </w:p>
    <w:p w:rsidR="00A7772C" w:rsidRDefault="00A7772C" w:rsidP="00A7772C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441841"/>
      <w:r>
        <w:lastRenderedPageBreak/>
        <w:t>Casos de Uso</w:t>
      </w:r>
      <w:bookmarkEnd w:id="7"/>
    </w:p>
    <w:p w:rsidR="00A7772C" w:rsidRDefault="00A7772C" w:rsidP="001D6A58">
      <w:pPr>
        <w:pStyle w:val="Ttulo2"/>
      </w:pPr>
      <w:bookmarkStart w:id="8" w:name="_Toc404441842"/>
      <w:r>
        <w:t>Homologar Registros de Freqüência</w:t>
      </w:r>
      <w:bookmarkEnd w:id="8"/>
      <w:r>
        <w:t> </w:t>
      </w:r>
    </w:p>
    <w:p w:rsidR="00A7772C" w:rsidRDefault="00A7772C" w:rsidP="00A777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441843"/>
      <w:r>
        <w:t>Fluxo Básico</w:t>
      </w:r>
      <w:bookmarkEnd w:id="9"/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solicita a funcionalidade de homologação de freqüências.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informa o mês e ano das freqüências que deseja listar.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recupera o período de apuração da freqüência para o mês/ano informado (vide anexo “Localizar período de apuração”) e exibe o mesmo.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valida as regras de negócio RN08, RN01, RN02, RN03, RN04, RN05 e RN06 da seção “Regras de Negócio”.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para Jornada de trabalho, o sistema inclui a(s) Homologação(s) de freqüência para jornada de trabalho para a unidade organizacional informada e suas subordinadas (caso tenha selecionado esta opção), do período de Apuração de freqüência do mês/ano informado e que não estejam homologadas.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para Escala de serviço, o sistema inclui a(s) Homologação(s) de freqüência para escala de serviço para a unidade organizacional informada e suas subordinadas (caso tenha selecionado esta opção), do período de Apuração de freqüência do mês/ano informado e que não estejam homologadas.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para Enturmação, o sistema inclui a(s) Homologação(s) de freqüência para enturmação para a unidade organizacional informada e suas subordinadas (caso tenha selecionado esta opção), do período de Apuração de freqüência do mês/ano informado e que não estejam homologadas.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exibe a mensagem MSG0006 ("Operação efetuada com sucesso!").</w:t>
      </w:r>
    </w:p>
    <w:p w:rsidR="00A7772C" w:rsidRDefault="00A7772C" w:rsidP="001D6A58">
      <w:pPr>
        <w:pStyle w:val="Ttulo2"/>
      </w:pPr>
      <w:bookmarkStart w:id="10" w:name="_Toc404441844"/>
      <w:r>
        <w:t>Cancelar homologação de Registros de Freqüência</w:t>
      </w:r>
      <w:bookmarkEnd w:id="10"/>
      <w:r>
        <w:t> </w:t>
      </w:r>
    </w:p>
    <w:p w:rsidR="00A7772C" w:rsidRDefault="00A7772C" w:rsidP="00A777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441845"/>
      <w:r>
        <w:t>Fluxo Básico</w:t>
      </w:r>
      <w:bookmarkEnd w:id="11"/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solicita a funcionalidade de homologação de freqüências.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informa o mês e ano das freqüências que deseja listar.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recupera o período de apuração da freqüência para o mês/ano informado (vide anexo “Localizar período de apuração”) e exibe o mesmo.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 xml:space="preserve">O sistema valida as regras de negócio RN09, RN04, RN05, </w:t>
      </w:r>
      <w:r>
        <w:lastRenderedPageBreak/>
        <w:t>RN06, RN07 da seção “Regras de Negócio”.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para Jornada de trabalho, o sistema exclui a(s) Homologação(s) de freqüência para jornada de trabalho da unidade organizacional informada e de suas subordinadas (caso tenha selecionado esta opção), do período de Apuração de freqüência do mês/ano informado.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para Escala de serviço, o sistema exclui a(s) Homologação(s) de freqüência para escala de serviço da unidade organizacional informada e de suas subordinadas (caso tenha selecionado esta opção), do período de Apuração de freqüência do mês/ano informado.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para Enturmação, o sistema exclui a(s) Homologação(s) de freqüência para enturmação da unidade organizacional informada e de suas subordinadas (caso tenha selecionado esta opção), do período de Apuração de freqüência do mês/ano informado.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exibe a mensagem MSG0006 ("Operação efetuada com sucesso!").</w:t>
      </w:r>
    </w:p>
    <w:p w:rsidR="00A7772C" w:rsidRDefault="00A7772C" w:rsidP="001D6A58">
      <w:pPr>
        <w:pStyle w:val="Ttulo2"/>
      </w:pPr>
      <w:bookmarkStart w:id="12" w:name="_Toc404441846"/>
      <w:r>
        <w:t>Listar Registros de Freqüências</w:t>
      </w:r>
      <w:bookmarkEnd w:id="12"/>
      <w:r>
        <w:t> </w:t>
      </w:r>
    </w:p>
    <w:p w:rsidR="00A7772C" w:rsidRDefault="00A7772C" w:rsidP="00A777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441847"/>
      <w:r>
        <w:t>Fluxo Básico</w:t>
      </w:r>
      <w:bookmarkEnd w:id="13"/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solicita a funcionalidade de homologação de freqüências.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exibe os filtros de pesquisa.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informa o mês e ano das freqüências que deseja listar.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recupera o período de apuração da freqüência para o mês/ano informado (vide anexo “Localizar período de apuração”) e exibe o mesmo.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informa os dados necessários e submete a operação.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verifica as regras de negócio RN04, RN05 da seção “Regras de Negócio”.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exibe uma lista de Unidades organizacionais conforme os filtros informados, ordenada pelo nome da unidade.</w:t>
      </w:r>
    </w:p>
    <w:p w:rsidR="00A7772C" w:rsidRDefault="00A7772C" w:rsidP="00A777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441848"/>
      <w:r>
        <w:t>Fluxo Alternativo – Listagem de servidores sem jornada, escala e enturmação</w:t>
      </w:r>
      <w:bookmarkEnd w:id="14"/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identifica o item.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realiza o caso de uso “Detalhar Conceito”.</w:t>
      </w:r>
    </w:p>
    <w:p w:rsidR="00A7772C" w:rsidRDefault="00A7772C" w:rsidP="00A7772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441849"/>
      <w:r>
        <w:t>Fluxo Alternativo – Detalhamento analítico da freqüência</w:t>
      </w:r>
      <w:bookmarkEnd w:id="15"/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identifica o item.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realiza o caso de uso “Detalhar freqüências de forma analítica”.</w:t>
      </w:r>
    </w:p>
    <w:p w:rsidR="00A7772C" w:rsidRDefault="00A7772C" w:rsidP="00A7772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441850"/>
      <w:r>
        <w:lastRenderedPageBreak/>
        <w:t>Fluxo Alternativo – Detalhamento sintético da freqüência</w:t>
      </w:r>
      <w:bookmarkEnd w:id="16"/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ator identifica o item.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realiza o caso de uso “Detalhar Conceito”.</w:t>
      </w:r>
    </w:p>
    <w:p w:rsidR="00A7772C" w:rsidRDefault="00A7772C" w:rsidP="001D6A58">
      <w:pPr>
        <w:pStyle w:val="Ttulo2"/>
      </w:pPr>
      <w:bookmarkStart w:id="17" w:name="_Toc404441851"/>
      <w:r>
        <w:t>Detalhar freqüências de forma analítica</w:t>
      </w:r>
      <w:bookmarkEnd w:id="17"/>
      <w:r>
        <w:t> </w:t>
      </w:r>
    </w:p>
    <w:p w:rsidR="00A7772C" w:rsidRDefault="00A7772C" w:rsidP="00A7772C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441852"/>
      <w:r>
        <w:t>Fluxo Básico</w:t>
      </w:r>
      <w:bookmarkEnd w:id="18"/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exibe o mês/ano informado, o período de Apuração da freqüência, a Unidade organizacional, a indicação das unidades subordinadas e o Regime selecionado.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exibe os Tipos de ocorrência conforme o Regime selecionado.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Jornada de trabalho, o sistema exibe como Tipos de ocorrência os Tipos de registro de jornada.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Jornada de trabalho, o sistema exibe como Tipos de ocorrência os Tipos de registro de jornada.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Caso o Regime seja Jornada de trabalho, o sistema exibe como Tipos de ocorrência os Tipos de registro de jornada.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usuário informa os dados necessários e submete a operação.</w:t>
      </w:r>
    </w:p>
    <w:p w:rsidR="00A7772C" w:rsidRDefault="00A7772C" w:rsidP="00A7772C">
      <w:pPr>
        <w:pStyle w:val="Ttulo4"/>
        <w:keepNext w:val="0"/>
        <w:widowControl w:val="0"/>
        <w:tabs>
          <w:tab w:val="left" w:pos="2160"/>
        </w:tabs>
        <w:spacing w:line="240" w:lineRule="auto"/>
        <w:ind w:left="1980" w:hanging="900"/>
      </w:pPr>
      <w:r>
        <w:t>O sistema exibe uma lista da relação de servidores conforme os filtros informados, ordenada pela matrícula do servidor.</w:t>
      </w:r>
    </w:p>
    <w:p w:rsidR="00A7772C" w:rsidRDefault="00A7772C" w:rsidP="00A7772C">
      <w:pPr>
        <w:pStyle w:val="Ttulo4"/>
        <w:numPr>
          <w:ilvl w:val="0"/>
          <w:numId w:val="0"/>
        </w:numPr>
        <w:ind w:left="1440"/>
      </w:pPr>
    </w:p>
    <w:p w:rsidR="00A7772C" w:rsidRDefault="00A7772C" w:rsidP="00A7772C">
      <w:pPr>
        <w:pStyle w:val="Ttulo1"/>
        <w:numPr>
          <w:ilvl w:val="0"/>
          <w:numId w:val="0"/>
        </w:numPr>
      </w:pPr>
    </w:p>
    <w:p w:rsidR="00A7772C" w:rsidRDefault="00A7772C" w:rsidP="00A7772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441853"/>
      <w:r>
        <w:lastRenderedPageBreak/>
        <w:t>Regras de Negócio</w:t>
      </w:r>
      <w:bookmarkEnd w:id="19"/>
    </w:p>
    <w:p w:rsidR="00A7772C" w:rsidRDefault="00A7772C" w:rsidP="001D6A58">
      <w:pPr>
        <w:pStyle w:val="Ttulo2"/>
      </w:pPr>
      <w:bookmarkStart w:id="20" w:name="_Toc404441854"/>
      <w:r>
        <w:t>RN01: Verificar se o órgão exige homologação de freqüência para jornadas</w:t>
      </w:r>
      <w:bookmarkEnd w:id="20"/>
    </w:p>
    <w:p w:rsidR="00A7772C" w:rsidRDefault="00A7772C" w:rsidP="00A7772C">
      <w:pPr>
        <w:pStyle w:val="Recuodecorpodetexto"/>
        <w:jc w:val="both"/>
      </w:pPr>
      <w:r>
        <w:t xml:space="preserve">Tentativa de homologar freqüência para o regime de </w:t>
      </w:r>
      <w:r>
        <w:rPr>
          <w:i/>
          <w:iCs/>
        </w:rPr>
        <w:t>Jornada de trabalho</w:t>
      </w:r>
      <w:r>
        <w:t xml:space="preserve"> e o período de “Apuração da freqüência” do mês/ano e do órgão (que o ator está logado) não </w:t>
      </w:r>
      <w:r>
        <w:rPr>
          <w:i/>
          <w:iCs/>
        </w:rPr>
        <w:t>exige homologação de freqüência para jornadas</w:t>
      </w:r>
      <w:r>
        <w:t>. O sistema exibe a mensagem MSG0227 ("Órgão não permite homologação de freqüência.").</w:t>
      </w:r>
    </w:p>
    <w:p w:rsidR="00A7772C" w:rsidRDefault="00A7772C" w:rsidP="00A7772C"/>
    <w:p w:rsidR="00A7772C" w:rsidRDefault="00A7772C" w:rsidP="001D6A58">
      <w:pPr>
        <w:pStyle w:val="Ttulo2"/>
      </w:pPr>
      <w:bookmarkStart w:id="21" w:name="_Toc404441855"/>
      <w:r>
        <w:t>RN02: Verificar se o órgão exige homologação de freqüência para escalas</w:t>
      </w:r>
      <w:bookmarkEnd w:id="21"/>
    </w:p>
    <w:p w:rsidR="00A7772C" w:rsidRDefault="00A7772C" w:rsidP="00A7772C">
      <w:pPr>
        <w:pStyle w:val="Recuodecorpodetexto"/>
        <w:jc w:val="both"/>
      </w:pPr>
      <w:r>
        <w:t xml:space="preserve">Tentativa de homologar freqüência para o regime de </w:t>
      </w:r>
      <w:r>
        <w:rPr>
          <w:i/>
          <w:iCs/>
        </w:rPr>
        <w:t>Escala de serviço</w:t>
      </w:r>
      <w:r>
        <w:t xml:space="preserve"> e o período de “Apuração da freqüência” do mês/ano e do órgão (que o ator está logado) não </w:t>
      </w:r>
      <w:r>
        <w:rPr>
          <w:i/>
          <w:iCs/>
        </w:rPr>
        <w:t>exige homologação de freqüência para escalas</w:t>
      </w:r>
      <w:r>
        <w:t>. O sistema exibe a mensagem MSG0227 ("Órgão não permite homologação de freqüência.").</w:t>
      </w:r>
    </w:p>
    <w:p w:rsidR="00A7772C" w:rsidRDefault="00A7772C" w:rsidP="00A7772C"/>
    <w:p w:rsidR="00A7772C" w:rsidRDefault="00A7772C" w:rsidP="001D6A58">
      <w:pPr>
        <w:pStyle w:val="Ttulo2"/>
      </w:pPr>
      <w:bookmarkStart w:id="22" w:name="_Toc404441856"/>
      <w:r>
        <w:t>RN03: Verificar se o órgão exige homologação de freqüência para enturmações</w:t>
      </w:r>
      <w:bookmarkEnd w:id="22"/>
    </w:p>
    <w:p w:rsidR="00A7772C" w:rsidRDefault="00A7772C" w:rsidP="00A7772C">
      <w:pPr>
        <w:pStyle w:val="Recuodecorpodetexto"/>
        <w:jc w:val="both"/>
      </w:pPr>
      <w:r>
        <w:t xml:space="preserve">Tentativa de homologar freqüência para o regime de </w:t>
      </w:r>
      <w:r>
        <w:rPr>
          <w:i/>
          <w:iCs/>
        </w:rPr>
        <w:t>Enturmação</w:t>
      </w:r>
      <w:r>
        <w:t xml:space="preserve"> e o período de “Apuração da freqüência” do mês/ano e do órgão (que o ator está logado) não </w:t>
      </w:r>
      <w:r>
        <w:rPr>
          <w:i/>
          <w:iCs/>
        </w:rPr>
        <w:t>exige homologação de freqüência para jornadas</w:t>
      </w:r>
      <w:r>
        <w:t>. O sistema exibe a mensagem MSG0227 ("Órgão não permite homologação de freqüência.").</w:t>
      </w:r>
    </w:p>
    <w:p w:rsidR="00A7772C" w:rsidRDefault="00A7772C" w:rsidP="00A7772C"/>
    <w:p w:rsidR="00A7772C" w:rsidRDefault="00A7772C" w:rsidP="001D6A58">
      <w:pPr>
        <w:pStyle w:val="Ttulo2"/>
      </w:pPr>
      <w:bookmarkStart w:id="23" w:name="_Toc404441857"/>
      <w:r>
        <w:t>RN04: Verificar se a unidade organizacional informada pertence ao órgão</w:t>
      </w:r>
      <w:bookmarkEnd w:id="23"/>
    </w:p>
    <w:p w:rsidR="00A7772C" w:rsidRDefault="00A7772C" w:rsidP="00A7772C">
      <w:pPr>
        <w:pStyle w:val="Recuodecorpodetexto"/>
        <w:jc w:val="both"/>
      </w:pPr>
      <w:r>
        <w:t>Tentativa de informar Unidade organizacional que não pertence ao Órgão (que o ator está logado). O sistema exibe a mensagem MSG0886 ("A unidade organizacional informada não pertence ao órgão em que o usuário está logado.").</w:t>
      </w:r>
    </w:p>
    <w:p w:rsidR="00A7772C" w:rsidRDefault="00A7772C" w:rsidP="00A7772C"/>
    <w:p w:rsidR="00A7772C" w:rsidRDefault="00A7772C" w:rsidP="001D6A58">
      <w:pPr>
        <w:pStyle w:val="Ttulo2"/>
      </w:pPr>
      <w:bookmarkStart w:id="24" w:name="_Toc190692544"/>
      <w:bookmarkStart w:id="25" w:name="_Toc190771807"/>
      <w:bookmarkStart w:id="26" w:name="_Toc191114751"/>
      <w:bookmarkStart w:id="27" w:name="_Toc404441858"/>
      <w:r>
        <w:t>RN05: Validar o mês/ano informad</w:t>
      </w:r>
      <w:bookmarkEnd w:id="24"/>
      <w:r>
        <w:t>o</w:t>
      </w:r>
      <w:bookmarkEnd w:id="25"/>
      <w:bookmarkEnd w:id="26"/>
      <w:bookmarkEnd w:id="27"/>
    </w:p>
    <w:p w:rsidR="00A7772C" w:rsidRDefault="00A7772C" w:rsidP="00A7772C">
      <w:pPr>
        <w:pStyle w:val="Recuodecorpodetexto"/>
        <w:jc w:val="both"/>
      </w:pPr>
      <w:r>
        <w:t>Tentativa de informar um mês/ano em que não exista registro de “Apuração da freqüência” (vide anexo “Localizar apuração da freqüência”). O sistema exibe a mensagem MSG1316 ("Não existe Apuração de freqüência para o &lt;campo1&gt; informado.").</w:t>
      </w:r>
    </w:p>
    <w:p w:rsidR="00A7772C" w:rsidRDefault="00A7772C" w:rsidP="00A7772C">
      <w:pPr>
        <w:pStyle w:val="Ttulo3"/>
        <w:numPr>
          <w:ilvl w:val="0"/>
          <w:numId w:val="0"/>
        </w:numPr>
      </w:pPr>
    </w:p>
    <w:p w:rsidR="00A7772C" w:rsidRDefault="00A7772C" w:rsidP="001D6A58">
      <w:pPr>
        <w:pStyle w:val="Ttulo2"/>
      </w:pPr>
      <w:bookmarkStart w:id="28" w:name="_Toc404441859"/>
      <w:r>
        <w:t>RN06: Validar a data de homologação</w:t>
      </w:r>
      <w:bookmarkEnd w:id="28"/>
    </w:p>
    <w:p w:rsidR="00A7772C" w:rsidRDefault="00A7772C" w:rsidP="00A7772C">
      <w:pPr>
        <w:pStyle w:val="Recuodecorpodetexto"/>
        <w:jc w:val="both"/>
      </w:pPr>
      <w:r>
        <w:t>Tentativa de homologar/cancelar homologação de registro de freqüência para determinado mês/ano quando já existir folha de pagamento calculada para o mês/ano de pagamento da freqüência em questão. Para realizar tal verificação, o sistema executa o caso de uso “Verificar pagamentos fechados”, informando o Órgão, indicativo de tipo de folha = normal, mês/ano = mês/ano de pagamento de apuração da freqüência, o tipo de verificação = “para uma referência”. Caso retorne verdadeiro, o sistema exibe a mensagem MSG0743 ("Não é permitido &lt;operação&gt;. Já houve processamento da folha de pagamento.").</w:t>
      </w:r>
    </w:p>
    <w:p w:rsidR="00A7772C" w:rsidRDefault="00A7772C" w:rsidP="00A7772C"/>
    <w:p w:rsidR="00A7772C" w:rsidRDefault="00A7772C" w:rsidP="001D6A58">
      <w:pPr>
        <w:pStyle w:val="Ttulo2"/>
      </w:pPr>
      <w:bookmarkStart w:id="29" w:name="_Toc404441860"/>
      <w:r>
        <w:t>RN07: Validar a data do cancelamento da homologação</w:t>
      </w:r>
      <w:bookmarkEnd w:id="29"/>
    </w:p>
    <w:p w:rsidR="00A7772C" w:rsidRDefault="00A7772C" w:rsidP="00A7772C">
      <w:pPr>
        <w:pStyle w:val="Recuodecorpodetexto"/>
        <w:jc w:val="both"/>
      </w:pPr>
      <w:r>
        <w:t>Tentativa de cancelar homologação de registro de freqüência quando a data (atual) seja superior à data limite para cancelamento da homologação para o mês/ano de apuração e do órgão (que o ator está logado). O sistema exibe a mensagem MSG1321 ("Data limite para cancelamento da homologação das freqüências já expirado.")</w:t>
      </w:r>
    </w:p>
    <w:p w:rsidR="00A7772C" w:rsidRDefault="00A7772C" w:rsidP="00A7772C">
      <w:pPr>
        <w:pStyle w:val="Recuodecorpodetexto"/>
        <w:jc w:val="both"/>
      </w:pPr>
    </w:p>
    <w:p w:rsidR="00A7772C" w:rsidRDefault="00A7772C" w:rsidP="001D6A58">
      <w:pPr>
        <w:pStyle w:val="Ttulo2"/>
      </w:pPr>
      <w:bookmarkStart w:id="30" w:name="_Toc404441861"/>
      <w:r>
        <w:t>RN08: Verificar se a freqüência já foi homologada</w:t>
      </w:r>
      <w:bookmarkEnd w:id="30"/>
    </w:p>
    <w:p w:rsidR="00A7772C" w:rsidRDefault="00A7772C" w:rsidP="00A7772C">
      <w:pPr>
        <w:pStyle w:val="Recuodecorpodetexto"/>
        <w:jc w:val="both"/>
      </w:pPr>
      <w:r>
        <w:t>Tentativa de homologar a freqüência de uma unidade organizacional e suas subordinadas (caso a opção esteja marcada) que possui freqüência(s) homologada(s) para o período de apuração informado e para o regime informado. O sistema exibe a mensagem MSG1363 ("Esta Unidade organizacional já possui Freqüência homologada.").</w:t>
      </w:r>
    </w:p>
    <w:p w:rsidR="00A7772C" w:rsidRDefault="00A7772C" w:rsidP="00A7772C">
      <w:pPr>
        <w:pStyle w:val="Recuodecorpodetexto"/>
        <w:jc w:val="both"/>
      </w:pPr>
    </w:p>
    <w:p w:rsidR="00A7772C" w:rsidRDefault="00A7772C" w:rsidP="00A7772C">
      <w:pPr>
        <w:pStyle w:val="Recuodecorpodetexto"/>
        <w:jc w:val="both"/>
      </w:pPr>
      <w:r>
        <w:lastRenderedPageBreak/>
        <w:t>Obs: Exibe a mensagem apenas caso todas as unidades possuírem as freqüências homologadas.</w:t>
      </w:r>
    </w:p>
    <w:p w:rsidR="00A7772C" w:rsidRDefault="00A7772C" w:rsidP="00A7772C">
      <w:pPr>
        <w:pStyle w:val="Recuodecorpodetexto"/>
        <w:jc w:val="both"/>
      </w:pPr>
    </w:p>
    <w:p w:rsidR="00A7772C" w:rsidRDefault="00A7772C" w:rsidP="001D6A58">
      <w:pPr>
        <w:pStyle w:val="Ttulo2"/>
      </w:pPr>
      <w:bookmarkStart w:id="31" w:name="_Toc404441862"/>
      <w:r>
        <w:t>RN09: Verificar se a freqüência não foi homologada</w:t>
      </w:r>
      <w:bookmarkEnd w:id="31"/>
    </w:p>
    <w:p w:rsidR="00A7772C" w:rsidRDefault="00A7772C" w:rsidP="00A7772C">
      <w:pPr>
        <w:pStyle w:val="Recuodecorpodetexto"/>
        <w:jc w:val="both"/>
      </w:pPr>
      <w:r>
        <w:t>Tentativa de cancelar a homologação da freqüência de uma unidade organizacional e suas subordinadas (caso a opção esteja marcada) que não teve a(s) freqüência(s) homologada(s). O sistema exibe a mensagem MSG1364 ("Esta Unidade organizacional não possui Freqüência homologada.").</w:t>
      </w:r>
    </w:p>
    <w:p w:rsidR="00A7772C" w:rsidRDefault="00A7772C" w:rsidP="00A7772C">
      <w:pPr>
        <w:pStyle w:val="Recuodecorpodetexto"/>
        <w:jc w:val="both"/>
      </w:pPr>
    </w:p>
    <w:p w:rsidR="00A7772C" w:rsidRDefault="00A7772C" w:rsidP="00A7772C">
      <w:pPr>
        <w:pStyle w:val="Recuodecorpodetexto"/>
        <w:jc w:val="both"/>
      </w:pPr>
      <w:r>
        <w:t>Obs: Exibe a mensagem apenas caso todas as unidades não tiverem as freqüências homologadas.</w:t>
      </w:r>
    </w:p>
    <w:p w:rsidR="00A7772C" w:rsidRDefault="00A7772C" w:rsidP="00A7772C">
      <w:pPr>
        <w:pStyle w:val="Recuodecorpodetexto"/>
        <w:jc w:val="both"/>
      </w:pPr>
    </w:p>
    <w:p w:rsidR="00A7772C" w:rsidRDefault="00A7772C" w:rsidP="00A7772C">
      <w:pPr>
        <w:pStyle w:val="Recuodecorpodetexto"/>
        <w:jc w:val="both"/>
      </w:pPr>
    </w:p>
    <w:p w:rsidR="00A7772C" w:rsidRDefault="00A7772C" w:rsidP="00A7772C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2" w:name="_Toc404441863"/>
      <w:r>
        <w:lastRenderedPageBreak/>
        <w:t>Anexos</w:t>
      </w:r>
      <w:bookmarkEnd w:id="32"/>
    </w:p>
    <w:p w:rsidR="00A7772C" w:rsidRDefault="00A7772C" w:rsidP="00A7772C">
      <w:pPr>
        <w:widowControl w:val="0"/>
        <w:rPr>
          <w:rFonts w:cs="Arial"/>
        </w:rPr>
      </w:pPr>
    </w:p>
    <w:p w:rsidR="00A7772C" w:rsidRDefault="00A7772C" w:rsidP="001D6A58">
      <w:pPr>
        <w:pStyle w:val="Ttulo2"/>
      </w:pPr>
      <w:bookmarkStart w:id="33" w:name="_Toc404441864"/>
      <w:r>
        <w:t>Localizar período de apuração</w:t>
      </w:r>
      <w:bookmarkEnd w:id="33"/>
    </w:p>
    <w:p w:rsidR="00A7772C" w:rsidRDefault="00A7772C" w:rsidP="00A7772C">
      <w:pPr>
        <w:pStyle w:val="Recuodecorpodetexto"/>
        <w:jc w:val="both"/>
      </w:pPr>
      <w:r>
        <w:t>Consultar o conceito Apuração de Freqüência para o mês/ano informado e para o órgão (que usuário está logado).</w:t>
      </w:r>
    </w:p>
    <w:p w:rsidR="00A7772C" w:rsidRDefault="00A7772C" w:rsidP="00A7772C">
      <w:pPr>
        <w:pStyle w:val="Recuodecorpodetexto"/>
        <w:jc w:val="both"/>
      </w:pPr>
    </w:p>
    <w:p w:rsidR="00A7772C" w:rsidRDefault="00A7772C" w:rsidP="001D6A58">
      <w:pPr>
        <w:pStyle w:val="Ttulo2"/>
      </w:pPr>
      <w:bookmarkStart w:id="34" w:name="_Toc190692548"/>
      <w:bookmarkStart w:id="35" w:name="_Toc404441865"/>
      <w:r>
        <w:rPr>
          <w:highlight w:val="lightGray"/>
        </w:rPr>
        <w:t>Abrangência</w:t>
      </w:r>
      <w:bookmarkEnd w:id="34"/>
      <w:bookmarkEnd w:id="35"/>
    </w:p>
    <w:p w:rsidR="00A7772C" w:rsidRDefault="00A7772C" w:rsidP="00A777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36" w:name="_Toc190692549"/>
      <w:bookmarkStart w:id="37" w:name="_Toc404441866"/>
      <w:r>
        <w:t>Abrangência na inclusão da presença em lote</w:t>
      </w:r>
      <w:bookmarkEnd w:id="36"/>
      <w:bookmarkEnd w:id="37"/>
    </w:p>
    <w:p w:rsidR="00A7772C" w:rsidRDefault="00A7772C" w:rsidP="00A7772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color w:val="000000"/>
        </w:rPr>
      </w:pPr>
      <w:r>
        <w:rPr>
          <w:color w:val="000000"/>
        </w:rPr>
        <w:t xml:space="preserve">O sistema certifica que o ator pode homologar as freqüências, verificando a abrangência de acesso a dados - </w:t>
      </w:r>
      <w:r>
        <w:rPr>
          <w:b/>
          <w:bCs w:val="0"/>
          <w:color w:val="000000"/>
          <w:u w:val="single"/>
        </w:rPr>
        <w:t>quanto à inclusão</w:t>
      </w:r>
      <w:r>
        <w:rPr>
          <w:color w:val="000000"/>
        </w:rPr>
        <w:t xml:space="preserve"> - que o mesmo possuir, levando em consideração:</w:t>
      </w:r>
    </w:p>
    <w:p w:rsidR="00A7772C" w:rsidRDefault="00A7772C" w:rsidP="00A7772C">
      <w:pPr>
        <w:pStyle w:val="Ttulo4"/>
        <w:numPr>
          <w:ilvl w:val="0"/>
          <w:numId w:val="0"/>
        </w:numPr>
        <w:ind w:left="1980" w:hanging="900"/>
        <w:rPr>
          <w:color w:val="000000"/>
        </w:rPr>
      </w:pPr>
      <w:r>
        <w:rPr>
          <w:rFonts w:ascii="Symbol" w:hAnsi="Symbol"/>
          <w:color w:val="000000"/>
        </w:rPr>
        <w:tab/>
      </w:r>
      <w:r>
        <w:rPr>
          <w:rFonts w:ascii="Symbol" w:hAnsi="Symbol"/>
          <w:color w:val="000000"/>
        </w:rPr>
        <w:t></w:t>
      </w:r>
      <w:r>
        <w:rPr>
          <w:rFonts w:ascii="Symbol" w:hAnsi="Symbol"/>
          <w:color w:val="000000"/>
        </w:rPr>
        <w:tab/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color w:val="000000"/>
        </w:rPr>
        <w:t>A unidade organizacional escolhida.</w:t>
      </w:r>
    </w:p>
    <w:p w:rsidR="00A7772C" w:rsidRDefault="00A7772C" w:rsidP="00A777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38" w:name="_Toc190692550"/>
      <w:bookmarkStart w:id="39" w:name="_Toc404441867"/>
      <w:r>
        <w:t>Abrangência na exclusão da presença em lote</w:t>
      </w:r>
      <w:bookmarkEnd w:id="38"/>
      <w:bookmarkEnd w:id="39"/>
    </w:p>
    <w:p w:rsidR="00A7772C" w:rsidRDefault="00A7772C" w:rsidP="00A7772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color w:val="000000"/>
        </w:rPr>
      </w:pPr>
      <w:r>
        <w:rPr>
          <w:color w:val="000000"/>
        </w:rPr>
        <w:t xml:space="preserve">O sistema certifica que o ator pode cancelar a homologação de freqüências, verificando a abrangência de acesso a dados - </w:t>
      </w:r>
      <w:r>
        <w:rPr>
          <w:b/>
          <w:bCs w:val="0"/>
          <w:color w:val="000000"/>
          <w:u w:val="single"/>
        </w:rPr>
        <w:t>quanto à exclusão</w:t>
      </w:r>
      <w:r>
        <w:rPr>
          <w:color w:val="000000"/>
        </w:rPr>
        <w:t xml:space="preserve"> - que o mesmo possuir, levando em consideração:</w:t>
      </w:r>
    </w:p>
    <w:p w:rsidR="00A7772C" w:rsidRDefault="00A7772C" w:rsidP="00A7772C">
      <w:pPr>
        <w:pStyle w:val="Ttulo4"/>
        <w:numPr>
          <w:ilvl w:val="0"/>
          <w:numId w:val="0"/>
        </w:numPr>
        <w:ind w:left="1980" w:hanging="900"/>
        <w:rPr>
          <w:color w:val="000000"/>
        </w:rPr>
      </w:pPr>
      <w:r>
        <w:rPr>
          <w:rFonts w:ascii="Symbol" w:hAnsi="Symbol"/>
          <w:color w:val="000000"/>
        </w:rPr>
        <w:tab/>
      </w:r>
      <w:r>
        <w:rPr>
          <w:rFonts w:ascii="Symbol" w:hAnsi="Symbol"/>
          <w:color w:val="000000"/>
        </w:rPr>
        <w:t></w:t>
      </w:r>
      <w:r>
        <w:rPr>
          <w:rFonts w:ascii="Symbol" w:hAnsi="Symbol"/>
          <w:color w:val="000000"/>
        </w:rPr>
        <w:tab/>
      </w:r>
      <w:r>
        <w:rPr>
          <w:rFonts w:ascii="Symbol" w:hAnsi="Symbol"/>
          <w:color w:val="000000"/>
        </w:rPr>
        <w:t></w:t>
      </w:r>
      <w:r>
        <w:rPr>
          <w:rFonts w:ascii="Symbol" w:hAnsi="Symbol"/>
          <w:color w:val="000000"/>
        </w:rPr>
        <w:t></w:t>
      </w:r>
      <w:r>
        <w:rPr>
          <w:color w:val="000000"/>
        </w:rPr>
        <w:t>A unidade organizacional escolhida.</w:t>
      </w:r>
    </w:p>
    <w:p w:rsidR="00A7772C" w:rsidRDefault="00A7772C" w:rsidP="00A777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190692551"/>
      <w:bookmarkStart w:id="41" w:name="_Toc404441868"/>
      <w:r>
        <w:t>Exceções</w:t>
      </w:r>
      <w:bookmarkEnd w:id="40"/>
      <w:bookmarkEnd w:id="41"/>
    </w:p>
    <w:p w:rsidR="00A7772C" w:rsidRDefault="00A7772C" w:rsidP="00A7772C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  <w:rPr>
          <w:color w:val="000000"/>
        </w:rPr>
      </w:pPr>
      <w:r>
        <w:rPr>
          <w:color w:val="000000"/>
        </w:rPr>
        <w:t xml:space="preserve">Tentativa de realizar operação - exceto listagem/impressão -, sem que o usuário tenha abrangência para realizá-la. O sistema exibe a mensagem MSG0183 ("Este registro não faz parte de sua abrangência de dados"). </w:t>
      </w:r>
    </w:p>
    <w:p w:rsidR="00A7772C" w:rsidRDefault="00A7772C" w:rsidP="00A7772C">
      <w:pPr>
        <w:pStyle w:val="Ttulo3"/>
        <w:keepNext w:val="0"/>
        <w:widowControl w:val="0"/>
        <w:spacing w:before="120" w:line="240" w:lineRule="auto"/>
        <w:ind w:left="1620" w:hanging="900"/>
      </w:pPr>
      <w:bookmarkStart w:id="42" w:name="_Toc190692552"/>
      <w:bookmarkStart w:id="43" w:name="_Toc404441869"/>
      <w:r>
        <w:t>Abrangência na pesquisa auxiliar de unidade organizacional</w:t>
      </w:r>
      <w:bookmarkEnd w:id="42"/>
      <w:bookmarkEnd w:id="43"/>
    </w:p>
    <w:p w:rsidR="00A7772C" w:rsidRDefault="00A7772C" w:rsidP="00A7772C">
      <w:pPr>
        <w:pStyle w:val="Recuodecorpodetexto"/>
        <w:jc w:val="both"/>
      </w:pPr>
      <w:r>
        <w:rPr>
          <w:color w:val="000000"/>
        </w:rPr>
        <w:t>Sistema deve ligar a abrangência antes de recuperar os registros.</w:t>
      </w:r>
    </w:p>
    <w:p w:rsidR="00A7772C" w:rsidRDefault="00A7772C" w:rsidP="00A7772C">
      <w:pPr>
        <w:widowControl w:val="0"/>
        <w:ind w:left="1080"/>
        <w:rPr>
          <w:rFonts w:cs="Arial"/>
        </w:rPr>
      </w:pPr>
    </w:p>
    <w:p w:rsidR="00A7772C" w:rsidRDefault="00A7772C" w:rsidP="001D6A58">
      <w:pPr>
        <w:widowControl w:val="0"/>
        <w:ind w:left="1080"/>
      </w:pPr>
      <w:r>
        <w:rPr>
          <w:rFonts w:cs="Arial"/>
        </w:rPr>
        <w:t>Obs: A abrangência será verificada apenas para a Unidade organizacional selecionada. As unidades organizacionais subordinadas não devem ser consideradas.</w:t>
      </w:r>
      <w:r w:rsidR="001D6A58">
        <w:t xml:space="preserve"> </w:t>
      </w:r>
    </w:p>
    <w:p w:rsidR="00F41655" w:rsidRPr="00A7772C" w:rsidRDefault="00F41655" w:rsidP="00A7772C"/>
    <w:sectPr w:rsidR="00F41655" w:rsidRPr="00A7772C" w:rsidSect="001D6A58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701" w:bottom="1417" w:left="1701" w:header="142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72C" w:rsidRDefault="00A7772C" w:rsidP="002908D9">
      <w:r>
        <w:separator/>
      </w:r>
    </w:p>
  </w:endnote>
  <w:endnote w:type="continuationSeparator" w:id="0">
    <w:p w:rsidR="00A7772C" w:rsidRDefault="00A7772C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D6A5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7772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7772C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7772C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7772C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D6A58" w:rsidRPr="001D6A58">
            <w:rPr>
              <w:b/>
              <w:sz w:val="20"/>
              <w:szCs w:val="20"/>
            </w:rPr>
            <w:t>UCS</w:t>
          </w:r>
          <w:r w:rsidR="001D6A58">
            <w:rPr>
              <w:b/>
              <w:sz w:val="20"/>
              <w:szCs w:val="20"/>
            </w:rPr>
            <w:t>0070 - Homologar Frequências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84EA47B" wp14:editId="2C08FEE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72C" w:rsidRDefault="00A7772C" w:rsidP="002908D9">
      <w:r>
        <w:separator/>
      </w:r>
    </w:p>
  </w:footnote>
  <w:footnote w:type="continuationSeparator" w:id="0">
    <w:p w:rsidR="00A7772C" w:rsidRDefault="00A7772C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1D6A58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54039761" wp14:editId="28D34D84">
          <wp:simplePos x="0" y="0"/>
          <wp:positionH relativeFrom="column">
            <wp:posOffset>4381500</wp:posOffset>
          </wp:positionH>
          <wp:positionV relativeFrom="paragraph">
            <wp:posOffset>252730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E5B7E26" wp14:editId="070355EB">
              <wp:simplePos x="0" y="0"/>
              <wp:positionH relativeFrom="column">
                <wp:posOffset>5825490</wp:posOffset>
              </wp:positionH>
              <wp:positionV relativeFrom="paragraph">
                <wp:posOffset>814705</wp:posOffset>
              </wp:positionV>
              <wp:extent cx="0" cy="8448675"/>
              <wp:effectExtent l="0" t="0" r="19050" b="952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4486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8.7pt,64.15pt" to="458.7pt,7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603D13E" wp14:editId="7B7F0C30">
              <wp:simplePos x="0" y="0"/>
              <wp:positionH relativeFrom="column">
                <wp:posOffset>5939790</wp:posOffset>
              </wp:positionH>
              <wp:positionV relativeFrom="paragraph">
                <wp:posOffset>814704</wp:posOffset>
              </wp:positionV>
              <wp:extent cx="334010" cy="8448675"/>
              <wp:effectExtent l="0" t="0" r="0" b="9525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8448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7.7pt;margin-top:64.15pt;width:26.3pt;height:665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2AFB55D8" wp14:editId="07191531">
          <wp:simplePos x="0" y="0"/>
          <wp:positionH relativeFrom="column">
            <wp:posOffset>4686300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6768A0D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72C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D6A58"/>
    <w:rsid w:val="00290019"/>
    <w:rsid w:val="002908D9"/>
    <w:rsid w:val="002D336A"/>
    <w:rsid w:val="003274E5"/>
    <w:rsid w:val="003328F5"/>
    <w:rsid w:val="00344D96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7772C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7772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7772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D6A58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right="-568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7772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7772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7772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7772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7772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7772C"/>
    <w:pPr>
      <w:ind w:left="0"/>
    </w:pPr>
  </w:style>
  <w:style w:type="paragraph" w:styleId="ndicedeilustraes">
    <w:name w:val="table of figures"/>
    <w:basedOn w:val="Normal"/>
    <w:next w:val="Normal"/>
    <w:semiHidden/>
    <w:rsid w:val="00A7772C"/>
  </w:style>
  <w:style w:type="paragraph" w:styleId="Sumrio2">
    <w:name w:val="toc 2"/>
    <w:basedOn w:val="Normal"/>
    <w:next w:val="Normal"/>
    <w:autoRedefine/>
    <w:uiPriority w:val="39"/>
    <w:rsid w:val="00A7772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7772C"/>
    <w:pPr>
      <w:ind w:left="480"/>
    </w:pPr>
  </w:style>
  <w:style w:type="character" w:styleId="Hyperlink">
    <w:name w:val="Hyperlink"/>
    <w:basedOn w:val="Fontepargpadro"/>
    <w:uiPriority w:val="99"/>
    <w:rsid w:val="00A7772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7772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7772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7772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7772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7772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7772C"/>
    <w:rPr>
      <w:sz w:val="16"/>
    </w:rPr>
  </w:style>
  <w:style w:type="character" w:styleId="Nmerodepgina">
    <w:name w:val="page number"/>
    <w:basedOn w:val="Fontepargpadro"/>
    <w:rsid w:val="00A7772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7772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777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7772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7772C"/>
  </w:style>
  <w:style w:type="paragraph" w:styleId="Corpodetexto">
    <w:name w:val="Body Text"/>
    <w:basedOn w:val="Normal"/>
    <w:link w:val="CorpodetextoChar"/>
    <w:rsid w:val="00A7772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7772C"/>
    <w:rPr>
      <w:rFonts w:eastAsia="Arial Unicode MS"/>
    </w:rPr>
  </w:style>
  <w:style w:type="paragraph" w:customStyle="1" w:styleId="tabletext">
    <w:name w:val="tabletext"/>
    <w:basedOn w:val="Normal"/>
    <w:rsid w:val="00A7772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7772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7772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7772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7772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7772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7772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7772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7772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7772C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7772C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7772C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D6A58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right="-568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7772C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7772C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7772C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7772C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7772C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7772C"/>
    <w:pPr>
      <w:ind w:left="0"/>
    </w:pPr>
  </w:style>
  <w:style w:type="paragraph" w:styleId="ndicedeilustraes">
    <w:name w:val="table of figures"/>
    <w:basedOn w:val="Normal"/>
    <w:next w:val="Normal"/>
    <w:semiHidden/>
    <w:rsid w:val="00A7772C"/>
  </w:style>
  <w:style w:type="paragraph" w:styleId="Sumrio2">
    <w:name w:val="toc 2"/>
    <w:basedOn w:val="Normal"/>
    <w:next w:val="Normal"/>
    <w:autoRedefine/>
    <w:uiPriority w:val="39"/>
    <w:rsid w:val="00A7772C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7772C"/>
    <w:pPr>
      <w:ind w:left="480"/>
    </w:pPr>
  </w:style>
  <w:style w:type="character" w:styleId="Hyperlink">
    <w:name w:val="Hyperlink"/>
    <w:basedOn w:val="Fontepargpadro"/>
    <w:uiPriority w:val="99"/>
    <w:rsid w:val="00A7772C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7772C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7772C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7772C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7772C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7772C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7772C"/>
    <w:rPr>
      <w:sz w:val="16"/>
    </w:rPr>
  </w:style>
  <w:style w:type="character" w:styleId="Nmerodepgina">
    <w:name w:val="page number"/>
    <w:basedOn w:val="Fontepargpadro"/>
    <w:rsid w:val="00A7772C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7772C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777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7772C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7772C"/>
  </w:style>
  <w:style w:type="paragraph" w:styleId="Corpodetexto">
    <w:name w:val="Body Text"/>
    <w:basedOn w:val="Normal"/>
    <w:link w:val="CorpodetextoChar"/>
    <w:rsid w:val="00A7772C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7772C"/>
    <w:rPr>
      <w:rFonts w:eastAsia="Arial Unicode MS"/>
    </w:rPr>
  </w:style>
  <w:style w:type="paragraph" w:customStyle="1" w:styleId="tabletext">
    <w:name w:val="tabletext"/>
    <w:basedOn w:val="Normal"/>
    <w:rsid w:val="00A7772C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7772C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7772C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7772C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7772C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7772C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7772C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7772C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7772C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7772C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3C2836-579F-4D72-AB2B-009D6E038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13</Pages>
  <Words>2211</Words>
  <Characters>11943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14126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2014-11-09T04:17:00Z</cp:lastPrinted>
  <dcterms:created xsi:type="dcterms:W3CDTF">2014-11-09T04:17:00Z</dcterms:created>
  <dcterms:modified xsi:type="dcterms:W3CDTF">2014-11-22T19:48:00Z</dcterms:modified>
</cp:coreProperties>
</file>