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Controle de Mudanças (RCM)</w:t>
      </w:r>
    </w:p>
    <w:p>
      <w:pPr>
        <w:pStyle w:val="Heading3"/>
      </w:pPr>
      <w:r>
        <w:t>📋 Rascunho Preliminar de RCM (Gerado por IA)</w:t>
      </w:r>
    </w:p>
    <w:p>
      <w:r>
        <w:t>**Estimativa de Pontos de Função (PF):** 5 PF</w:t>
      </w:r>
    </w:p>
    <w:p>
      <w:r>
        <w:t>**Componentes Principais Afetados:**</w:t>
      </w:r>
    </w:p>
    <w:p>
      <w:r>
        <w:t>- Interface de Usuário (UI)</w:t>
      </w:r>
    </w:p>
    <w:p>
      <w:r>
        <w:t>- Módulo de Relatórios</w:t>
      </w:r>
    </w:p>
    <w:p>
      <w:r>
        <w:t>- Serviço de Geração de PDF</w:t>
      </w:r>
    </w:p>
    <w:p>
      <w:r>
        <w:t>Esta funcionalidade permitirá que os usuários exportem relatórios diretamente em formato PDF, o que envolve a integração de um serviço de geração de PDF e a adição de um novo botão na interface de usuário. A complexidade pode variar dependendo da biblioteca de PDF utilizada e da necessidade de formatação dos relatórios.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