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24</w:t>
      </w:r>
    </w:p>
    <w:p>
      <w:r>
        <w:t>Data: 26/11/2025</w:t>
      </w:r>
    </w:p>
    <w:p>
      <w:pPr>
        <w:pStyle w:val="Heading1"/>
      </w:pPr>
      <w:r>
        <w:t>1. Descrição da Mudança</w:t>
      </w:r>
    </w:p>
    <w:p>
      <w:r>
        <w:t>Implementar uma interface para seleção de relatórios e opção de exportação em PDF, integrando APIs para geração e armazenamento de PDFs, com mecanismos de segurança para acesso autorizado e compatibilidade com diversas plataformas.</w:t>
      </w:r>
    </w:p>
    <w:p>
      <w:pPr>
        <w:pStyle w:val="Heading1"/>
      </w:pPr>
      <w:r>
        <w:t>2. Estimativas</w:t>
      </w:r>
    </w:p>
    <w:p>
      <w:r>
        <w:t>Estimativa de Esforço: Médio</w:t>
      </w:r>
    </w:p>
    <w:p>
      <w:r>
        <w:t>Prazo Estimado: 3-7 dias</w:t>
      </w:r>
    </w:p>
    <w:p>
      <w:r>
        <w:t>Pontos de Função: 18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