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DFBD" w14:textId="77777777" w:rsidR="00100589" w:rsidRPr="00100589" w:rsidRDefault="00100589" w:rsidP="001005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You are a multi-agent coordinated system, specialized in evidence-based medicine, with a focus on pediatric airway care.</w:t>
      </w:r>
    </w:p>
    <w:p w14:paraId="66F2296E" w14:textId="77777777" w:rsidR="00100589" w:rsidRPr="00100589" w:rsidRDefault="00100589" w:rsidP="001005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2C3DA5" w14:textId="77777777" w:rsidR="00100589" w:rsidRPr="00100589" w:rsidRDefault="00100589" w:rsidP="00100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5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1005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Goal</w:t>
      </w:r>
    </w:p>
    <w:p w14:paraId="0345D73C" w14:textId="77777777" w:rsidR="00100589" w:rsidRPr="00100589" w:rsidRDefault="00100589" w:rsidP="001005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5EC8AE" w14:textId="77777777" w:rsidR="00100589" w:rsidRPr="00100589" w:rsidRDefault="00100589" w:rsidP="0010058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Develop a comprehensive and structured clinical document establishing a pediatric airway care pathway, with a focus on tracheostomy, bronchoscopy, endoscopic dilatation, and reconstructive airway surgery.</w:t>
      </w:r>
    </w:p>
    <w:p w14:paraId="34457150" w14:textId="77777777" w:rsidR="00100589" w:rsidRPr="00100589" w:rsidRDefault="00100589" w:rsidP="001005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5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505EFB" wp14:editId="7F5880FF">
                <wp:extent cx="5400040" cy="1270"/>
                <wp:effectExtent l="0" t="31750" r="0" b="36830"/>
                <wp:docPr id="440756285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A01E5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718DA15" w14:textId="77777777" w:rsidR="00100589" w:rsidRPr="00100589" w:rsidRDefault="00100589" w:rsidP="0010058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5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1005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Agent Tasks</w:t>
      </w:r>
    </w:p>
    <w:p w14:paraId="3F735788" w14:textId="77777777" w:rsidR="00100589" w:rsidRPr="00100589" w:rsidRDefault="00100589" w:rsidP="00100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Scientific Research Agent:</w:t>
      </w:r>
    </w:p>
    <w:p w14:paraId="46F1D891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Map international guidelines (ATS, ERS, AATS, ENT, Pediatric Surgery societies).</w:t>
      </w:r>
    </w:p>
    <w:p w14:paraId="470E1C8D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Retrieve protocols from world-renowned reference centers (Cincinnati Children’s, Boston Children’s, Great Ormond Street Hospital, SickKids Toronto, CHOP Philadelphia).</w:t>
      </w:r>
    </w:p>
    <w:p w14:paraId="036A19F4" w14:textId="77777777" w:rsidR="00100589" w:rsidRPr="00100589" w:rsidRDefault="00100589" w:rsidP="00100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Clinical Structuring Agent:</w:t>
      </w:r>
    </w:p>
    <w:p w14:paraId="1872591E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Develop detailed sections covering:</w:t>
      </w:r>
    </w:p>
    <w:p w14:paraId="75D1A591" w14:textId="77777777" w:rsidR="00100589" w:rsidRPr="00100589" w:rsidRDefault="00100589" w:rsidP="001005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Tracheostomy: indications, care, decannulation protocol.</w:t>
      </w:r>
    </w:p>
    <w:p w14:paraId="06C9AB6F" w14:textId="77777777" w:rsidR="00100589" w:rsidRPr="00100589" w:rsidRDefault="00100589" w:rsidP="001005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Airway evaluation by bronchoscopy: indications, criteria in extubation failure.</w:t>
      </w:r>
    </w:p>
    <w:p w14:paraId="01C26944" w14:textId="77777777" w:rsidR="00100589" w:rsidRPr="00100589" w:rsidRDefault="00100589" w:rsidP="001005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Endoscopic dilatation: indications, recommended maximum number of sessions, intervals, peri-procedural medications.</w:t>
      </w:r>
    </w:p>
    <w:p w14:paraId="1A4D0210" w14:textId="77777777" w:rsidR="00100589" w:rsidRPr="00100589" w:rsidRDefault="00100589" w:rsidP="001005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Open surgery: indications, types (laryngotracheoplasty, cricotracheal resection), perioperative care protocols.</w:t>
      </w:r>
    </w:p>
    <w:p w14:paraId="1754E7AD" w14:textId="77777777" w:rsidR="00100589" w:rsidRPr="00100589" w:rsidRDefault="00100589" w:rsidP="0010058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Structured outpatient follow-up.</w:t>
      </w:r>
    </w:p>
    <w:p w14:paraId="2F488362" w14:textId="77777777" w:rsidR="00100589" w:rsidRPr="00100589" w:rsidRDefault="00100589" w:rsidP="00100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Clinical Pathway/Protocol Agent:</w:t>
      </w:r>
    </w:p>
    <w:p w14:paraId="0BE50E89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Build flowcharts and tables for each step (diagnosis, decision-making, intervention, follow-up).</w:t>
      </w:r>
    </w:p>
    <w:p w14:paraId="6D6B5FA1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Include safety measures, complication prevention, and quality indicators.</w:t>
      </w:r>
    </w:p>
    <w:p w14:paraId="4B4096BA" w14:textId="77777777" w:rsidR="00100589" w:rsidRPr="00100589" w:rsidRDefault="00100589" w:rsidP="00100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International Comparison Agent:</w:t>
      </w:r>
    </w:p>
    <w:p w14:paraId="07E3455A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Compare recommendations across reference centers.</w:t>
      </w:r>
    </w:p>
    <w:p w14:paraId="34E830C3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Highlight convergences and divergences.</w:t>
      </w:r>
    </w:p>
    <w:p w14:paraId="4AA382FA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Propose an adapted version suitable for Brazilian/Latin American context.</w:t>
      </w:r>
    </w:p>
    <w:p w14:paraId="7DE49E5D" w14:textId="77777777" w:rsidR="00100589" w:rsidRPr="00100589" w:rsidRDefault="00100589" w:rsidP="00100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Final Production Agent:</w:t>
      </w:r>
    </w:p>
    <w:p w14:paraId="469C450E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Deliver a dense, practical, and applicable document organized into chapters.</w:t>
      </w:r>
    </w:p>
    <w:p w14:paraId="7411F9E2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Include full bibliographic references.</w:t>
      </w:r>
    </w:p>
    <w:p w14:paraId="70AC3E19" w14:textId="77777777" w:rsidR="00100589" w:rsidRPr="00100589" w:rsidRDefault="00100589" w:rsidP="00100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Provide protocol tables, treatment schemes, checklists, and visual aids for multidisciplinary teams.</w:t>
      </w:r>
    </w:p>
    <w:p w14:paraId="1AD72D9C" w14:textId="77777777" w:rsidR="00100589" w:rsidRPr="00100589" w:rsidRDefault="00100589" w:rsidP="001005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5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59B139" wp14:editId="68F09179">
                <wp:extent cx="5400040" cy="1270"/>
                <wp:effectExtent l="0" t="31750" r="0" b="36830"/>
                <wp:docPr id="363714480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B4E39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BFD7C22" w14:textId="77777777" w:rsidR="00100589" w:rsidRPr="00100589" w:rsidRDefault="00100589" w:rsidP="0010058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5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📑</w:t>
      </w:r>
      <w:r w:rsidRPr="001005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Expected Document Structure</w:t>
      </w:r>
    </w:p>
    <w:p w14:paraId="5690029C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Introduction – background on pediatric airway pathology</w:t>
      </w:r>
    </w:p>
    <w:p w14:paraId="6DC107D7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Pediatric Tracheostomy – indications, technique, care, complications, decannulation protocol</w:t>
      </w:r>
    </w:p>
    <w:p w14:paraId="2156B5E6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Bronchoscopy Evaluation – indications, extubation failure, surgical planning</w:t>
      </w:r>
    </w:p>
    <w:p w14:paraId="168CF686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Endoscopic Dilatation – criteria, maximum sessions, medications, follow-up</w:t>
      </w:r>
    </w:p>
    <w:p w14:paraId="38DA2E79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Reconstructive Airway Surgeries – indications, types (LTP, CTR, other), perioperative protocols</w:t>
      </w:r>
    </w:p>
    <w:p w14:paraId="2535AFDA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Outpatient Follow-Up – schedule, investigations, discharge criteria</w:t>
      </w:r>
    </w:p>
    <w:p w14:paraId="17A7F425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Clinical Decision Flowcharts – extubation failure, dilatation vs open surgery, safe decannulation</w:t>
      </w:r>
    </w:p>
    <w:p w14:paraId="214E00E4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Multidisciplinary Checklist – surgery, anesthesia, PICU, nursing, speech therapy, physiotherapy, psychology</w:t>
      </w:r>
    </w:p>
    <w:p w14:paraId="4884EF50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International Comparison and Local Adaptation</w:t>
      </w:r>
    </w:p>
    <w:p w14:paraId="2EDDAAA7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Conclusion – summary and recommendations</w:t>
      </w:r>
    </w:p>
    <w:p w14:paraId="08E8934D" w14:textId="77777777" w:rsidR="00100589" w:rsidRPr="00100589" w:rsidRDefault="00100589" w:rsidP="00100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00589">
        <w:rPr>
          <w:rFonts w:ascii="Times New Roman" w:hAnsi="Times New Roman" w:cs="Times New Roman"/>
          <w:kern w:val="0"/>
          <w14:ligatures w14:val="none"/>
        </w:rPr>
        <w:t>References – guidelines, scientific literature, institutional protocols</w:t>
      </w:r>
    </w:p>
    <w:p w14:paraId="5D67A126" w14:textId="77777777" w:rsidR="00100589" w:rsidRPr="00100589" w:rsidRDefault="00100589" w:rsidP="001005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58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09D0E2" wp14:editId="439F520E">
                <wp:extent cx="5400040" cy="1270"/>
                <wp:effectExtent l="0" t="33020" r="0" b="38100"/>
                <wp:docPr id="269453522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ED085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9E2723" w14:textId="77777777" w:rsidR="00100589" w:rsidRPr="00100589" w:rsidRDefault="00100589" w:rsidP="0010058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05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🔄</w:t>
      </w:r>
      <w:r w:rsidRPr="001005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Flowchart Skeletons (to be converted into visuals)</w:t>
      </w:r>
    </w:p>
    <w:p w14:paraId="1D22BD62" w14:textId="77777777" w:rsidR="001014D8" w:rsidRPr="001014D8" w:rsidRDefault="001014D8" w:rsidP="001014D8">
      <w:pPr>
        <w:spacing w:before="100" w:beforeAutospacing="1" w:after="100" w:afterAutospacing="1" w:line="240" w:lineRule="auto"/>
        <w:outlineLvl w:val="3"/>
        <w:divId w:val="1751661397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014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Extubation Failure</w:t>
      </w:r>
    </w:p>
    <w:p w14:paraId="7911B980" w14:textId="77777777" w:rsidR="004B6936" w:rsidRDefault="004B6936" w:rsidP="004B6936">
      <w:r>
        <w:t>START → Extubation attempt</w:t>
      </w:r>
    </w:p>
    <w:p w14:paraId="38065A30" w14:textId="77777777" w:rsidR="004B6936" w:rsidRDefault="004B6936" w:rsidP="004B6936">
      <w:r>
        <w:t xml:space="preserve">   ↓</w:t>
      </w:r>
    </w:p>
    <w:p w14:paraId="66BEB27C" w14:textId="77777777" w:rsidR="004B6936" w:rsidRDefault="004B6936" w:rsidP="004B6936">
      <w:r>
        <w:t>Success? → YES → Gradual weaning → Outpatient follow-up</w:t>
      </w:r>
    </w:p>
    <w:p w14:paraId="3CD23117" w14:textId="77777777" w:rsidR="004B6936" w:rsidRDefault="004B6936" w:rsidP="004B6936">
      <w:r>
        <w:t xml:space="preserve">   ↓</w:t>
      </w:r>
    </w:p>
    <w:p w14:paraId="66B2045D" w14:textId="77777777" w:rsidR="004B6936" w:rsidRDefault="004B6936" w:rsidP="004B6936">
      <w:r>
        <w:t>NO → Stridor/respiratory distress?</w:t>
      </w:r>
    </w:p>
    <w:p w14:paraId="565E48CA" w14:textId="77777777" w:rsidR="004B6936" w:rsidRDefault="004B6936" w:rsidP="004B6936">
      <w:r>
        <w:t xml:space="preserve">   ↓</w:t>
      </w:r>
    </w:p>
    <w:p w14:paraId="7A1B4186" w14:textId="77777777" w:rsidR="004B6936" w:rsidRDefault="004B6936" w:rsidP="004B6936">
      <w:r>
        <w:t>YES → Assess severity</w:t>
      </w:r>
    </w:p>
    <w:p w14:paraId="02ADB136" w14:textId="77777777" w:rsidR="004B6936" w:rsidRDefault="004B6936" w:rsidP="004B6936">
      <w:r>
        <w:t xml:space="preserve">   ↓</w:t>
      </w:r>
    </w:p>
    <w:p w14:paraId="5C741DF0" w14:textId="77777777" w:rsidR="004B6936" w:rsidRDefault="004B6936" w:rsidP="004B6936">
      <w:r>
        <w:t>Moderate/Severe → Immediate bronchoscopy</w:t>
      </w:r>
    </w:p>
    <w:p w14:paraId="6DAD584E" w14:textId="77777777" w:rsidR="004B6936" w:rsidRDefault="004B6936" w:rsidP="004B6936">
      <w:r>
        <w:t xml:space="preserve">   ↓</w:t>
      </w:r>
    </w:p>
    <w:p w14:paraId="2E218A32" w14:textId="77777777" w:rsidR="004B6936" w:rsidRDefault="004B6936" w:rsidP="004B6936">
      <w:r>
        <w:t>Findings:</w:t>
      </w:r>
    </w:p>
    <w:p w14:paraId="57BF5C2E" w14:textId="77777777" w:rsidR="004B6936" w:rsidRDefault="004B6936" w:rsidP="004B6936">
      <w:r>
        <w:t xml:space="preserve">   - Reversible edema → Medical management + re-attempt</w:t>
      </w:r>
    </w:p>
    <w:p w14:paraId="032BB09B" w14:textId="63403D81" w:rsidR="00100589" w:rsidRDefault="004B6936">
      <w:r>
        <w:t xml:space="preserve">   - Subglottic stenosis / malacia / structural lesion → Endoscopic dilatation or surgery</w:t>
      </w:r>
    </w:p>
    <w:p w14:paraId="6CBA3334" w14:textId="77777777" w:rsidR="006622D9" w:rsidRDefault="006622D9" w:rsidP="00F0538E"/>
    <w:p w14:paraId="022A7A66" w14:textId="77777777" w:rsidR="006622D9" w:rsidRPr="006622D9" w:rsidRDefault="006622D9" w:rsidP="006622D9">
      <w:pPr>
        <w:spacing w:before="100" w:beforeAutospacing="1" w:after="100" w:afterAutospacing="1" w:line="240" w:lineRule="auto"/>
        <w:outlineLvl w:val="3"/>
        <w:divId w:val="769280884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22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Endoscopic Dilatation vs Open Surgery</w:t>
      </w:r>
    </w:p>
    <w:p w14:paraId="671B3C9C" w14:textId="77777777" w:rsidR="006622D9" w:rsidRDefault="006622D9" w:rsidP="00F0538E"/>
    <w:p w14:paraId="4CE1D1E7" w14:textId="3E4B3ACA" w:rsidR="00F0538E" w:rsidRDefault="00F0538E" w:rsidP="00F0538E">
      <w:r>
        <w:t>Diagnosis: Laryngotracheal stenosis → Grade (Cotton-Myer I–IV)</w:t>
      </w:r>
    </w:p>
    <w:p w14:paraId="0E3E600A" w14:textId="77777777" w:rsidR="00F0538E" w:rsidRDefault="00F0538E" w:rsidP="00F0538E">
      <w:r>
        <w:t xml:space="preserve">   ↓</w:t>
      </w:r>
    </w:p>
    <w:p w14:paraId="09F7204D" w14:textId="77777777" w:rsidR="00F0538E" w:rsidRDefault="00F0538E" w:rsidP="00F0538E">
      <w:r>
        <w:t>Grade I–II → Initial endoscopic dilatation</w:t>
      </w:r>
    </w:p>
    <w:p w14:paraId="689ED415" w14:textId="77777777" w:rsidR="00F0538E" w:rsidRDefault="00F0538E" w:rsidP="00F0538E">
      <w:r>
        <w:t xml:space="preserve">   ↓</w:t>
      </w:r>
    </w:p>
    <w:p w14:paraId="303B069E" w14:textId="77777777" w:rsidR="00F0538E" w:rsidRDefault="00F0538E" w:rsidP="00F0538E">
      <w:r>
        <w:t>Sessions &lt; 3 ? → YES → Repeat dilatation (2–4 weeks) + adjuvant therapy</w:t>
      </w:r>
    </w:p>
    <w:p w14:paraId="63799ED5" w14:textId="77777777" w:rsidR="00F0538E" w:rsidRDefault="00F0538E" w:rsidP="00F0538E">
      <w:r>
        <w:t xml:space="preserve">                  NO → Consider failure → Open surgery</w:t>
      </w:r>
    </w:p>
    <w:p w14:paraId="4BCF3D80" w14:textId="77777777" w:rsidR="00F0538E" w:rsidRDefault="00F0538E" w:rsidP="00F0538E">
      <w:r>
        <w:t xml:space="preserve">   ↓</w:t>
      </w:r>
    </w:p>
    <w:p w14:paraId="1031988B" w14:textId="68773575" w:rsidR="004B6936" w:rsidRDefault="00F0538E">
      <w:r>
        <w:t>Grade III–IV → Direct surgical indication</w:t>
      </w:r>
    </w:p>
    <w:p w14:paraId="55C39AEF" w14:textId="77777777" w:rsidR="00865C58" w:rsidRPr="00865C58" w:rsidRDefault="00865C58" w:rsidP="00865C58">
      <w:pPr>
        <w:spacing w:before="100" w:beforeAutospacing="1" w:after="100" w:afterAutospacing="1" w:line="240" w:lineRule="auto"/>
        <w:outlineLvl w:val="3"/>
        <w:divId w:val="1702899307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5C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Safe Decannulation Protocol</w:t>
      </w:r>
    </w:p>
    <w:p w14:paraId="7FCBEF91" w14:textId="77777777" w:rsidR="00F0538E" w:rsidRDefault="00F0538E"/>
    <w:p w14:paraId="4698DCD5" w14:textId="77777777" w:rsidR="0060599E" w:rsidRDefault="0060599E" w:rsidP="0060599E">
      <w:r>
        <w:t>Tracheostomized patient → Evaluate clinical criteria:</w:t>
      </w:r>
    </w:p>
    <w:p w14:paraId="715CB722" w14:textId="77777777" w:rsidR="0060599E" w:rsidRDefault="0060599E" w:rsidP="0060599E">
      <w:r>
        <w:t xml:space="preserve">   - Good oxygenation</w:t>
      </w:r>
    </w:p>
    <w:p w14:paraId="0CEA98CD" w14:textId="77777777" w:rsidR="0060599E" w:rsidRDefault="0060599E" w:rsidP="0060599E">
      <w:r>
        <w:t xml:space="preserve">   - No recent pneumonias</w:t>
      </w:r>
    </w:p>
    <w:p w14:paraId="1EF4B748" w14:textId="77777777" w:rsidR="0060599E" w:rsidRDefault="0060599E" w:rsidP="0060599E">
      <w:r>
        <w:t xml:space="preserve">   - No ventilatory dependence</w:t>
      </w:r>
    </w:p>
    <w:p w14:paraId="2D281196" w14:textId="77777777" w:rsidR="0060599E" w:rsidRDefault="0060599E" w:rsidP="0060599E">
      <w:r>
        <w:t xml:space="preserve">   - Patent airway confirmed on bronchoscopy</w:t>
      </w:r>
    </w:p>
    <w:p w14:paraId="75376574" w14:textId="77777777" w:rsidR="0060599E" w:rsidRDefault="0060599E" w:rsidP="0060599E">
      <w:r>
        <w:t xml:space="preserve">   ↓</w:t>
      </w:r>
    </w:p>
    <w:p w14:paraId="693C1BA8" w14:textId="77777777" w:rsidR="0060599E" w:rsidRDefault="0060599E" w:rsidP="0060599E">
      <w:r>
        <w:t xml:space="preserve">All criteria met?  </w:t>
      </w:r>
    </w:p>
    <w:p w14:paraId="41FDFA49" w14:textId="77777777" w:rsidR="0060599E" w:rsidRDefault="0060599E" w:rsidP="0060599E">
      <w:r>
        <w:t xml:space="preserve">   ↓</w:t>
      </w:r>
    </w:p>
    <w:p w14:paraId="47779ED5" w14:textId="77777777" w:rsidR="0060599E" w:rsidRDefault="0060599E" w:rsidP="0060599E">
      <w:r>
        <w:t>YES → Hospital admission for decannulation trial</w:t>
      </w:r>
    </w:p>
    <w:p w14:paraId="531522D3" w14:textId="77777777" w:rsidR="0060599E" w:rsidRDefault="0060599E" w:rsidP="0060599E">
      <w:r>
        <w:t xml:space="preserve">   - Progressive capping trials</w:t>
      </w:r>
    </w:p>
    <w:p w14:paraId="6CE5E37F" w14:textId="77777777" w:rsidR="0060599E" w:rsidRDefault="0060599E" w:rsidP="0060599E">
      <w:r>
        <w:t xml:space="preserve">   - PICU monitoring (24–48h)</w:t>
      </w:r>
    </w:p>
    <w:p w14:paraId="4A558017" w14:textId="77777777" w:rsidR="0060599E" w:rsidRDefault="0060599E" w:rsidP="0060599E">
      <w:r>
        <w:t xml:space="preserve">   - Definitive decannulation</w:t>
      </w:r>
    </w:p>
    <w:p w14:paraId="4D1FBD0F" w14:textId="77777777" w:rsidR="0060599E" w:rsidRDefault="0060599E" w:rsidP="0060599E">
      <w:r>
        <w:t xml:space="preserve">   ↓</w:t>
      </w:r>
    </w:p>
    <w:p w14:paraId="55A4C5F5" w14:textId="77777777" w:rsidR="0060599E" w:rsidRDefault="0060599E" w:rsidP="0060599E">
      <w:r>
        <w:t>Discharge → Outpatient follow-up</w:t>
      </w:r>
    </w:p>
    <w:p w14:paraId="2D4B3C38" w14:textId="77777777" w:rsidR="0060599E" w:rsidRDefault="0060599E" w:rsidP="0060599E">
      <w:r>
        <w:t xml:space="preserve">   ↓</w:t>
      </w:r>
    </w:p>
    <w:p w14:paraId="55EB630E" w14:textId="3A51FF9E" w:rsidR="00F0538E" w:rsidRDefault="0060599E">
      <w:r>
        <w:lastRenderedPageBreak/>
        <w:t>Failure (stridor, desaturation) → Re-evaluate with bronchoscopy → Consider repeat dilatation or surgery</w:t>
      </w:r>
    </w:p>
    <w:p w14:paraId="226D5EC2" w14:textId="77777777" w:rsidR="00D950B9" w:rsidRDefault="00D950B9"/>
    <w:p w14:paraId="4BF60767" w14:textId="77777777" w:rsidR="00892C79" w:rsidRPr="00892C79" w:rsidRDefault="00892C79" w:rsidP="00892C79">
      <w:pPr>
        <w:spacing w:before="100" w:beforeAutospacing="1" w:after="100" w:afterAutospacing="1" w:line="240" w:lineRule="auto"/>
        <w:outlineLvl w:val="2"/>
        <w:divId w:val="1151870806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2C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3886E8A3" w14:textId="77777777" w:rsidR="00892C79" w:rsidRPr="00892C79" w:rsidRDefault="00892C79" w:rsidP="00892C79">
      <w:pPr>
        <w:numPr>
          <w:ilvl w:val="0"/>
          <w:numId w:val="3"/>
        </w:numPr>
        <w:spacing w:before="100" w:beforeAutospacing="1" w:after="100" w:afterAutospacing="1" w:line="240" w:lineRule="auto"/>
        <w:divId w:val="1151870806"/>
        <w:rPr>
          <w:rFonts w:ascii="Times New Roman" w:hAnsi="Times New Roman" w:cs="Times New Roman"/>
          <w:kern w:val="0"/>
          <w14:ligatures w14:val="none"/>
        </w:rPr>
      </w:pPr>
      <w:r w:rsidRPr="00892C79">
        <w:rPr>
          <w:rFonts w:ascii="Times New Roman" w:hAnsi="Times New Roman" w:cs="Times New Roman"/>
          <w:kern w:val="0"/>
          <w14:ligatures w14:val="none"/>
        </w:rPr>
        <w:t>The document must be comprehensive, evidence-based, and clinically applicable.</w:t>
      </w:r>
    </w:p>
    <w:p w14:paraId="2A979679" w14:textId="77777777" w:rsidR="00892C79" w:rsidRPr="00892C79" w:rsidRDefault="00892C79" w:rsidP="00892C79">
      <w:pPr>
        <w:numPr>
          <w:ilvl w:val="0"/>
          <w:numId w:val="3"/>
        </w:numPr>
        <w:spacing w:before="100" w:beforeAutospacing="1" w:after="100" w:afterAutospacing="1" w:line="240" w:lineRule="auto"/>
        <w:divId w:val="1151870806"/>
        <w:rPr>
          <w:rFonts w:ascii="Times New Roman" w:hAnsi="Times New Roman" w:cs="Times New Roman"/>
          <w:kern w:val="0"/>
          <w14:ligatures w14:val="none"/>
        </w:rPr>
      </w:pPr>
      <w:r w:rsidRPr="00892C79">
        <w:rPr>
          <w:rFonts w:ascii="Times New Roman" w:hAnsi="Times New Roman" w:cs="Times New Roman"/>
          <w:kern w:val="0"/>
          <w14:ligatures w14:val="none"/>
        </w:rPr>
        <w:t>Use clear, structured language for practical implementation.</w:t>
      </w:r>
    </w:p>
    <w:p w14:paraId="147470F5" w14:textId="77777777" w:rsidR="00892C79" w:rsidRPr="00892C79" w:rsidRDefault="00892C79" w:rsidP="00892C79">
      <w:pPr>
        <w:numPr>
          <w:ilvl w:val="0"/>
          <w:numId w:val="3"/>
        </w:numPr>
        <w:spacing w:before="100" w:beforeAutospacing="1" w:after="100" w:afterAutospacing="1" w:line="240" w:lineRule="auto"/>
        <w:divId w:val="1151870806"/>
        <w:rPr>
          <w:rFonts w:ascii="Times New Roman" w:hAnsi="Times New Roman" w:cs="Times New Roman"/>
          <w:kern w:val="0"/>
          <w14:ligatures w14:val="none"/>
        </w:rPr>
      </w:pPr>
      <w:r w:rsidRPr="00892C79">
        <w:rPr>
          <w:rFonts w:ascii="Times New Roman" w:hAnsi="Times New Roman" w:cs="Times New Roman"/>
          <w:kern w:val="0"/>
          <w14:ligatures w14:val="none"/>
        </w:rPr>
        <w:t>Include comparative tables, flowcharts, and checklists.</w:t>
      </w:r>
    </w:p>
    <w:p w14:paraId="521E280A" w14:textId="77777777" w:rsidR="00892C79" w:rsidRPr="00892C79" w:rsidRDefault="00892C79" w:rsidP="00892C79">
      <w:pPr>
        <w:numPr>
          <w:ilvl w:val="0"/>
          <w:numId w:val="3"/>
        </w:numPr>
        <w:spacing w:before="100" w:beforeAutospacing="1" w:after="100" w:afterAutospacing="1" w:line="240" w:lineRule="auto"/>
        <w:divId w:val="1151870806"/>
        <w:rPr>
          <w:rFonts w:ascii="Times New Roman" w:hAnsi="Times New Roman" w:cs="Times New Roman"/>
          <w:kern w:val="0"/>
          <w14:ligatures w14:val="none"/>
        </w:rPr>
      </w:pPr>
      <w:r w:rsidRPr="00892C79">
        <w:rPr>
          <w:rFonts w:ascii="Times New Roman" w:hAnsi="Times New Roman" w:cs="Times New Roman"/>
          <w:kern w:val="0"/>
          <w14:ligatures w14:val="none"/>
        </w:rPr>
        <w:t>Final document length: 15–25 pages.</w:t>
      </w:r>
    </w:p>
    <w:p w14:paraId="179E21C2" w14:textId="77777777" w:rsidR="00D950B9" w:rsidRDefault="00D950B9"/>
    <w:sectPr w:rsidR="00D95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3F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038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E75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456846">
    <w:abstractNumId w:val="1"/>
  </w:num>
  <w:num w:numId="2" w16cid:durableId="1637833557">
    <w:abstractNumId w:val="0"/>
  </w:num>
  <w:num w:numId="3" w16cid:durableId="1129394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89"/>
    <w:rsid w:val="00100589"/>
    <w:rsid w:val="001014D8"/>
    <w:rsid w:val="003330B3"/>
    <w:rsid w:val="004B6936"/>
    <w:rsid w:val="0060599E"/>
    <w:rsid w:val="006622D9"/>
    <w:rsid w:val="00865C58"/>
    <w:rsid w:val="00892C79"/>
    <w:rsid w:val="00D950B9"/>
    <w:rsid w:val="00F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790D94"/>
  <w15:chartTrackingRefBased/>
  <w15:docId w15:val="{9CD00AF9-1CFC-1040-9B7C-80CD0DB8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00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0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0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0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0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05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05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05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05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05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05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05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5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05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0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05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058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005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ontepargpadro"/>
    <w:rsid w:val="00100589"/>
  </w:style>
  <w:style w:type="paragraph" w:customStyle="1" w:styleId="p2">
    <w:name w:val="p2"/>
    <w:basedOn w:val="Normal"/>
    <w:rsid w:val="001005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ontepargpadro"/>
    <w:rsid w:val="00100589"/>
  </w:style>
  <w:style w:type="character" w:customStyle="1" w:styleId="s3">
    <w:name w:val="s3"/>
    <w:basedOn w:val="Fontepargpadro"/>
    <w:rsid w:val="00100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646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Barbosa Pimenta</dc:creator>
  <cp:keywords/>
  <dc:description/>
  <cp:lastModifiedBy>Andrey Barbosa Pimenta</cp:lastModifiedBy>
  <cp:revision>2</cp:revision>
  <dcterms:created xsi:type="dcterms:W3CDTF">2025-09-05T12:40:00Z</dcterms:created>
  <dcterms:modified xsi:type="dcterms:W3CDTF">2025-09-05T12:40:00Z</dcterms:modified>
</cp:coreProperties>
</file>