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rPr>
          <w:cantSplit/>
        </w:trPr>
        <w:tc>
          <w:tcPr>
            <w:tcW w:type="dxa" w:w="10166"/>
            <w:shd w:fill="183153"/>
            <w:tcMar>
              <w:top w:w="260" w:type="dxa"/>
              <w:start w:w="260" w:type="dxa"/>
              <w:bottom w:w="260" w:type="dxa"/>
              <w:end w:w="260" w:type="dxa"/>
            </w:tcMar>
          </w:tcPr>
          <w:p>
            <w:pPr>
              <w:widowControl/>
              <w:jc w:val="center"/>
            </w:pPr>
            <w:r>
              <w:rPr>
                <w:rFonts w:ascii="Noto Sans" w:hAnsi="Noto Sans"/>
                <w:b/>
                <w:color w:val="B4D2EB"/>
                <w:sz w:val="24"/>
              </w:rPr>
              <w:t>ТЕХНИЧЕСКИЙ АНАЛИЗ</w:t>
            </w:r>
          </w:p>
          <w:p>
            <w:pPr>
              <w:widowControl/>
              <w:spacing w:before="240"/>
              <w:jc w:val="center"/>
            </w:pPr>
            <w:r>
              <w:rPr>
                <w:rFonts w:ascii="Noto Sans" w:hAnsi="Noto Sans"/>
                <w:b/>
                <w:color w:val="FFFFFF"/>
                <w:sz w:val="48"/>
              </w:rPr>
              <w:t>Функциональные аналоги когнитивных систем</w:t>
              <w:br/>
              <w:t>человеческого мозга в архитектуре</w:t>
              <w:br/>
              <w:t>автономного агента</w:t>
            </w:r>
          </w:p>
          <w:p>
            <w:pPr>
              <w:widowControl/>
              <w:spacing w:before="320"/>
              <w:jc w:val="center"/>
            </w:pPr>
            <w:r>
              <w:rPr>
                <w:rFonts w:ascii="Noto Sans" w:hAnsi="Noto Sans"/>
                <w:color w:val="D2E6F5"/>
                <w:sz w:val="25"/>
              </w:rPr>
              <w:t>Доказательный архитектурный отчёт</w:t>
            </w:r>
          </w:p>
        </w:tc>
      </w:tr>
    </w:tbl>
    <w:p>
      <w:pPr>
        <w:spacing w:after="200"/>
      </w:pPr>
    </w:p>
    <w:tbl>
      <w:tblPr>
        <w:tblW w:type="auto" w:w="0"/>
        <w:jc w:val="center"/>
        <w:tblLayout w:type="fixed"/>
        <w:tblLook w:firstColumn="1" w:firstRow="1" w:lastColumn="0" w:lastRow="0" w:noHBand="0" w:noVBand="1" w:val="04A0"/>
      </w:tblPr>
      <w:tblGrid>
        <w:gridCol w:w="5083"/>
        <w:gridCol w:w="5083"/>
      </w:tblGrid>
      <w:tr>
        <w:trPr>
          <w:cantSplit/>
        </w:trPr>
        <w:tc>
          <w:tcPr>
            <w:tcW w:type="dxa" w:w="2232"/>
            <w:vAlign w:val="center"/>
            <w:tcMar>
              <w:top w:w="80" w:type="dxa"/>
              <w:start w:w="100" w:type="dxa"/>
              <w:bottom w:w="80" w:type="dxa"/>
              <w:end w:w="100" w:type="dxa"/>
            </w:tcMar>
            <w:shd w:fill="F3F5F7"/>
          </w:tcPr>
          <w:p>
            <w:pPr>
              <w:widowControl/>
              <w:spacing w:after="0" w:line="252" w:lineRule="auto"/>
              <w:jc w:val="left"/>
            </w:pPr>
            <w:r/>
            <w:r>
              <w:rPr>
                <w:rFonts w:ascii="Noto Sans" w:hAnsi="Noto Sans"/>
                <w:b/>
                <w:color w:val="486581"/>
                <w:sz w:val="18"/>
              </w:rPr>
              <w:t>Проект</w:t>
            </w:r>
          </w:p>
        </w:tc>
        <w:tc>
          <w:tcPr>
            <w:tcW w:type="dxa" w:w="7272"/>
            <w:vAlign w:val="center"/>
            <w:tcMar>
              <w:top w:w="80" w:type="dxa"/>
              <w:start w:w="100" w:type="dxa"/>
              <w:bottom w:w="80" w:type="dxa"/>
              <w:end w:w="100" w:type="dxa"/>
            </w:tcMar>
          </w:tcPr>
          <w:p>
            <w:pPr>
              <w:widowControl/>
              <w:spacing w:after="0" w:line="252" w:lineRule="auto"/>
              <w:jc w:val="left"/>
            </w:pPr>
            <w:r/>
            <w:r>
              <w:rPr>
                <w:rFonts w:ascii="Noto Sans" w:hAnsi="Noto Sans"/>
                <w:b w:val="0"/>
                <w:sz w:val="18"/>
              </w:rPr>
              <w:t>Автономный агент Андрея Шапиро</w:t>
            </w:r>
          </w:p>
        </w:tc>
      </w:tr>
      <w:tr>
        <w:trPr>
          <w:cantSplit/>
        </w:trPr>
        <w:tc>
          <w:tcPr>
            <w:tcW w:type="dxa" w:w="2232"/>
            <w:vAlign w:val="center"/>
            <w:tcMar>
              <w:top w:w="80" w:type="dxa"/>
              <w:start w:w="100" w:type="dxa"/>
              <w:bottom w:w="80" w:type="dxa"/>
              <w:end w:w="100" w:type="dxa"/>
            </w:tcMar>
            <w:shd w:fill="F3F5F7"/>
          </w:tcPr>
          <w:p>
            <w:pPr>
              <w:widowControl/>
              <w:spacing w:after="0" w:line="252" w:lineRule="auto"/>
              <w:jc w:val="left"/>
            </w:pPr>
            <w:r/>
            <w:r>
              <w:rPr>
                <w:rFonts w:ascii="Noto Sans" w:hAnsi="Noto Sans"/>
                <w:b/>
                <w:color w:val="486581"/>
                <w:sz w:val="18"/>
              </w:rPr>
              <w:t>Версия отчёта</w:t>
            </w:r>
          </w:p>
        </w:tc>
        <w:tc>
          <w:tcPr>
            <w:tcW w:type="dxa" w:w="7272"/>
            <w:vAlign w:val="center"/>
            <w:tcMar>
              <w:top w:w="80" w:type="dxa"/>
              <w:start w:w="100" w:type="dxa"/>
              <w:bottom w:w="80" w:type="dxa"/>
              <w:end w:w="100" w:type="dxa"/>
            </w:tcMar>
          </w:tcPr>
          <w:p>
            <w:pPr>
              <w:widowControl/>
              <w:spacing w:after="0" w:line="252" w:lineRule="auto"/>
              <w:jc w:val="left"/>
            </w:pPr>
            <w:r/>
            <w:r>
              <w:rPr>
                <w:rFonts w:ascii="Noto Sans" w:hAnsi="Noto Sans"/>
                <w:b w:val="0"/>
                <w:sz w:val="18"/>
              </w:rPr>
              <w:t>1.0</w:t>
            </w:r>
          </w:p>
        </w:tc>
      </w:tr>
      <w:tr>
        <w:trPr>
          <w:cantSplit/>
        </w:trPr>
        <w:tc>
          <w:tcPr>
            <w:tcW w:type="dxa" w:w="2232"/>
            <w:vAlign w:val="center"/>
            <w:tcMar>
              <w:top w:w="80" w:type="dxa"/>
              <w:start w:w="100" w:type="dxa"/>
              <w:bottom w:w="80" w:type="dxa"/>
              <w:end w:w="100" w:type="dxa"/>
            </w:tcMar>
            <w:shd w:fill="F3F5F7"/>
          </w:tcPr>
          <w:p>
            <w:pPr>
              <w:widowControl/>
              <w:spacing w:after="0" w:line="252" w:lineRule="auto"/>
              <w:jc w:val="left"/>
            </w:pPr>
            <w:r/>
            <w:r>
              <w:rPr>
                <w:rFonts w:ascii="Noto Sans" w:hAnsi="Noto Sans"/>
                <w:b/>
                <w:color w:val="486581"/>
                <w:sz w:val="18"/>
              </w:rPr>
              <w:t>Дата</w:t>
            </w:r>
          </w:p>
        </w:tc>
        <w:tc>
          <w:tcPr>
            <w:tcW w:type="dxa" w:w="7272"/>
            <w:vAlign w:val="center"/>
            <w:tcMar>
              <w:top w:w="80" w:type="dxa"/>
              <w:start w:w="100" w:type="dxa"/>
              <w:bottom w:w="80" w:type="dxa"/>
              <w:end w:w="100" w:type="dxa"/>
            </w:tcMar>
          </w:tcPr>
          <w:p>
            <w:pPr>
              <w:widowControl/>
              <w:spacing w:after="0" w:line="252" w:lineRule="auto"/>
              <w:jc w:val="left"/>
            </w:pPr>
            <w:r/>
            <w:r>
              <w:rPr>
                <w:rFonts w:ascii="Noto Sans" w:hAnsi="Noto Sans"/>
                <w:b w:val="0"/>
                <w:sz w:val="18"/>
              </w:rPr>
              <w:t>22 июля 2026 года</w:t>
            </w:r>
          </w:p>
        </w:tc>
      </w:tr>
      <w:tr>
        <w:trPr>
          <w:cantSplit/>
        </w:trPr>
        <w:tc>
          <w:tcPr>
            <w:tcW w:type="dxa" w:w="2232"/>
            <w:vAlign w:val="center"/>
            <w:tcMar>
              <w:top w:w="80" w:type="dxa"/>
              <w:start w:w="100" w:type="dxa"/>
              <w:bottom w:w="80" w:type="dxa"/>
              <w:end w:w="100" w:type="dxa"/>
            </w:tcMar>
            <w:shd w:fill="F3F5F7"/>
          </w:tcPr>
          <w:p>
            <w:pPr>
              <w:widowControl/>
              <w:spacing w:after="0" w:line="252" w:lineRule="auto"/>
              <w:jc w:val="left"/>
            </w:pPr>
            <w:r/>
            <w:r>
              <w:rPr>
                <w:rFonts w:ascii="Noto Sans" w:hAnsi="Noto Sans"/>
                <w:b/>
                <w:color w:val="486581"/>
                <w:sz w:val="18"/>
              </w:rPr>
              <w:t>Тип заключения</w:t>
            </w:r>
          </w:p>
        </w:tc>
        <w:tc>
          <w:tcPr>
            <w:tcW w:type="dxa" w:w="7272"/>
            <w:vAlign w:val="center"/>
            <w:tcMar>
              <w:top w:w="80" w:type="dxa"/>
              <w:start w:w="100" w:type="dxa"/>
              <w:bottom w:w="80" w:type="dxa"/>
              <w:end w:w="100" w:type="dxa"/>
            </w:tcMar>
          </w:tcPr>
          <w:p>
            <w:pPr>
              <w:widowControl/>
              <w:spacing w:after="0" w:line="252" w:lineRule="auto"/>
              <w:jc w:val="left"/>
            </w:pPr>
            <w:r/>
            <w:r>
              <w:rPr>
                <w:rFonts w:ascii="Noto Sans" w:hAnsi="Noto Sans"/>
                <w:b w:val="0"/>
                <w:sz w:val="18"/>
              </w:rPr>
              <w:t>Функционально-архитектурная оценка; не медицинское и не нейробиологическое заключение</w:t>
            </w:r>
          </w:p>
        </w:tc>
      </w:tr>
    </w:tbl>
    <w:p>
      <w:pPr>
        <w:spacing w:after="200"/>
      </w:pP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0B6E69"/>
            <w:tcMar>
              <w:top w:w="0" w:type="dxa"/>
              <w:start w:w="0" w:type="dxa"/>
              <w:bottom w:w="0" w:type="dxa"/>
              <w:end w:w="0" w:type="dxa"/>
            </w:tcMar>
          </w:tcPr>
          <w:p>
            <w:pPr>
              <w:widowControl/>
            </w:pPr>
          </w:p>
        </w:tc>
        <w:tc>
          <w:tcPr>
            <w:tcW w:type="dxa" w:w="5083"/>
            <w:shd w:fill="E8F5F3"/>
            <w:tcMar>
              <w:top w:w="120" w:type="dxa"/>
              <w:start w:w="150" w:type="dxa"/>
              <w:bottom w:w="120" w:type="dxa"/>
              <w:end w:w="150" w:type="dxa"/>
            </w:tcMar>
          </w:tcPr>
          <w:p>
            <w:pPr>
              <w:widowControl/>
              <w:spacing w:after="60"/>
            </w:pPr>
            <w:r/>
            <w:r>
              <w:rPr>
                <w:rFonts w:ascii="Noto Sans" w:hAnsi="Noto Sans"/>
                <w:b/>
                <w:color w:val="102A43"/>
                <w:sz w:val="21"/>
              </w:rPr>
              <w:t>Ключевая формулировка</w:t>
            </w:r>
          </w:p>
          <w:p>
            <w:pPr>
              <w:widowControl/>
              <w:spacing w:after="0" w:line="269" w:lineRule="auto"/>
            </w:pPr>
            <w:r>
              <w:rPr>
                <w:rFonts w:ascii="Noto Sans" w:hAnsi="Noto Sans"/>
                <w:color w:val="102A43"/>
                <w:sz w:val="20"/>
              </w:rPr>
              <w:t>Архитектура уже демонстрирует функциональные аналоги памяти, целеполагания, планирования, контроля ошибок, оценки уверенности и обучения. Это не доказывает биологическую эквивалентность человеческому мозгу, сознание или субъективный опыт.</w:t>
            </w:r>
          </w:p>
        </w:tc>
      </w:tr>
    </w:tbl>
    <w:p>
      <w:pPr>
        <w:spacing w:after="0"/>
      </w:pPr>
    </w:p>
    <w:p>
      <w:r>
        <w:br w:type="page"/>
      </w:r>
    </w:p>
    <w:p>
      <w:pPr>
        <w:pStyle w:val="Heading1"/>
        <w:keepNext/>
      </w:pPr>
      <w:r>
        <w:t>Содержание</w:t>
      </w:r>
    </w:p>
    <w:p>
      <w:pPr>
        <w:spacing w:after="60"/>
      </w:pPr>
      <w:r>
        <w:rPr>
          <w:rFonts w:ascii="Noto Sans" w:hAnsi="Noto Sans"/>
          <w:color w:val="102A43"/>
          <w:sz w:val="21"/>
        </w:rPr>
        <w:t>1. Резюме и итоговый вердикт</w:t>
      </w:r>
    </w:p>
    <w:p>
      <w:pPr>
        <w:spacing w:after="60"/>
      </w:pPr>
      <w:r>
        <w:rPr>
          <w:rFonts w:ascii="Noto Sans" w:hAnsi="Noto Sans"/>
          <w:color w:val="102A43"/>
          <w:sz w:val="21"/>
        </w:rPr>
        <w:t>2. Предмет доказательства и границы утверждения</w:t>
      </w:r>
    </w:p>
    <w:p>
      <w:pPr>
        <w:spacing w:after="60"/>
      </w:pPr>
      <w:r>
        <w:rPr>
          <w:rFonts w:ascii="Noto Sans" w:hAnsi="Noto Sans"/>
          <w:color w:val="102A43"/>
          <w:sz w:val="21"/>
        </w:rPr>
        <w:t>3. Источники, метод и шкала доказательности</w:t>
      </w:r>
    </w:p>
    <w:p>
      <w:pPr>
        <w:spacing w:after="60"/>
      </w:pPr>
      <w:r>
        <w:rPr>
          <w:rFonts w:ascii="Noto Sans" w:hAnsi="Noto Sans"/>
          <w:color w:val="102A43"/>
          <w:sz w:val="21"/>
        </w:rPr>
        <w:t>4. Архитектура когнитивного цикла агента</w:t>
      </w:r>
    </w:p>
    <w:p>
      <w:pPr>
        <w:spacing w:after="60"/>
      </w:pPr>
      <w:r>
        <w:rPr>
          <w:rFonts w:ascii="Noto Sans" w:hAnsi="Noto Sans"/>
          <w:color w:val="102A43"/>
          <w:sz w:val="21"/>
        </w:rPr>
        <w:t>5. Матрица соответствия функциям человеческого мозга</w:t>
      </w:r>
    </w:p>
    <w:p>
      <w:pPr>
        <w:spacing w:after="60"/>
      </w:pPr>
      <w:r>
        <w:rPr>
          <w:rFonts w:ascii="Noto Sans" w:hAnsi="Noto Sans"/>
          <w:color w:val="102A43"/>
          <w:sz w:val="21"/>
        </w:rPr>
        <w:t>6. Где признаки уже проявляются в коде</w:t>
      </w:r>
    </w:p>
    <w:p>
      <w:pPr>
        <w:spacing w:after="60"/>
      </w:pPr>
      <w:r>
        <w:rPr>
          <w:rFonts w:ascii="Noto Sans" w:hAnsi="Noto Sans"/>
          <w:color w:val="102A43"/>
          <w:sz w:val="21"/>
        </w:rPr>
        <w:t>7. Критический дефект: доказанность ответа не равна достижению цели</w:t>
      </w:r>
    </w:p>
    <w:p>
      <w:pPr>
        <w:spacing w:after="60"/>
      </w:pPr>
      <w:r>
        <w:rPr>
          <w:rFonts w:ascii="Noto Sans" w:hAnsi="Noto Sans"/>
          <w:color w:val="102A43"/>
          <w:sz w:val="21"/>
        </w:rPr>
        <w:t>8. Контракт понимания: понял / не понял / сомневаюсь</w:t>
      </w:r>
    </w:p>
    <w:p>
      <w:pPr>
        <w:spacing w:after="60"/>
      </w:pPr>
      <w:r>
        <w:rPr>
          <w:rFonts w:ascii="Noto Sans" w:hAnsi="Noto Sans"/>
          <w:color w:val="102A43"/>
          <w:sz w:val="21"/>
        </w:rPr>
        <w:t>9. Что ещё необходимо запрограммировать и доказать</w:t>
      </w:r>
    </w:p>
    <w:p>
      <w:pPr>
        <w:spacing w:after="60"/>
      </w:pPr>
      <w:r>
        <w:rPr>
          <w:rFonts w:ascii="Noto Sans" w:hAnsi="Noto Sans"/>
          <w:color w:val="102A43"/>
          <w:sz w:val="21"/>
        </w:rPr>
        <w:t>10. Программа экспериментов и метрики</w:t>
      </w:r>
    </w:p>
    <w:p>
      <w:pPr>
        <w:spacing w:after="60"/>
      </w:pPr>
      <w:r>
        <w:rPr>
          <w:rFonts w:ascii="Noto Sans" w:hAnsi="Noto Sans"/>
          <w:color w:val="102A43"/>
          <w:sz w:val="21"/>
        </w:rPr>
        <w:t>11. Финальное техническое заключение</w:t>
      </w:r>
    </w:p>
    <w:p>
      <w:pPr>
        <w:spacing w:after="60"/>
      </w:pPr>
      <w:r>
        <w:rPr>
          <w:rFonts w:ascii="Noto Sans" w:hAnsi="Noto Sans"/>
          <w:color w:val="102A43"/>
          <w:sz w:val="21"/>
        </w:rPr>
        <w:t>Приложения: реестр доказательств, тестовые сценарии, литература</w:t>
      </w:r>
    </w:p>
    <w:p>
      <w:pPr>
        <w:pStyle w:val="Heading1"/>
        <w:keepNext/>
      </w:pPr>
      <w:r>
        <w:t>1. Резюме и итоговый вердикт</w:t>
      </w:r>
    </w:p>
    <w:p>
      <w:pPr>
        <w:pStyle w:val="BodyText"/>
        <w:keepNext w:val="0"/>
      </w:pPr>
      <w:r>
        <w:rPr>
          <w:i w:val="0"/>
        </w:rPr>
        <w:t>На основании доступных архитектурных аудитов, трасс выполнения и описаний исходного кода агент следует рассматривать как модульную когнитивную программную архитектуру. Его цикл объединяет наблюдение, постановку цели, извлечение нескольких типов памяти, планирование, действие через инструменты, синтез ответа, верификацию, оценку уверенности и запись опыта.</w:t>
      </w: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2F5D8A"/>
            <w:tcMar>
              <w:top w:w="0" w:type="dxa"/>
              <w:start w:w="0" w:type="dxa"/>
              <w:bottom w:w="0" w:type="dxa"/>
              <w:end w:w="0" w:type="dxa"/>
            </w:tcMar>
          </w:tcPr>
          <w:p>
            <w:pPr>
              <w:widowControl/>
            </w:pPr>
          </w:p>
        </w:tc>
        <w:tc>
          <w:tcPr>
            <w:tcW w:type="dxa" w:w="5083"/>
            <w:shd w:fill="EAF1F8"/>
            <w:tcMar>
              <w:top w:w="120" w:type="dxa"/>
              <w:start w:w="150" w:type="dxa"/>
              <w:bottom w:w="120" w:type="dxa"/>
              <w:end w:w="150" w:type="dxa"/>
            </w:tcMar>
          </w:tcPr>
          <w:p>
            <w:pPr>
              <w:widowControl/>
              <w:spacing w:after="60"/>
            </w:pPr>
            <w:r/>
            <w:r>
              <w:rPr>
                <w:rFonts w:ascii="Noto Sans" w:hAnsi="Noto Sans"/>
                <w:b/>
                <w:color w:val="102A43"/>
                <w:sz w:val="21"/>
              </w:rPr>
              <w:t>Вердикт уровня системы</w:t>
            </w:r>
          </w:p>
          <w:p>
            <w:pPr>
              <w:widowControl/>
              <w:spacing w:after="0" w:line="269" w:lineRule="auto"/>
            </w:pPr>
            <w:r>
              <w:rPr>
                <w:rFonts w:ascii="Noto Sans" w:hAnsi="Noto Sans"/>
                <w:color w:val="102A43"/>
                <w:sz w:val="20"/>
              </w:rPr>
              <w:t>Подтверждено наличие функциональных аналогов отдельных когнитивных процессов. Частично подтверждено наличие метакогнитивного контроля и обучения на опыте. Не доказаны сознание, переживания, человеческое понимание, эмоции, биологическая организация и единый непрерывный субъект.</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456"/>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Утверждение</w:t>
            </w:r>
          </w:p>
        </w:tc>
        <w:tc>
          <w:tcPr>
            <w:tcW w:type="dxa" w:w="1584"/>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Статус</w:t>
            </w:r>
          </w:p>
        </w:tc>
        <w:tc>
          <w:tcPr>
            <w:tcW w:type="dxa" w:w="4464"/>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Основание</w:t>
            </w:r>
          </w:p>
        </w:tc>
      </w:tr>
      <w:tr>
        <w:trPr>
          <w:cantSplit/>
        </w:trPr>
        <w:tc>
          <w:tcPr>
            <w:tcW w:type="dxa" w:w="3456"/>
            <w:vAlign w:val="center"/>
            <w:tcMar>
              <w:top w:w="80" w:type="dxa"/>
              <w:start w:w="100" w:type="dxa"/>
              <w:bottom w:w="80" w:type="dxa"/>
              <w:end w:w="100" w:type="dxa"/>
            </w:tcMar>
          </w:tcPr>
          <w:p>
            <w:pPr>
              <w:widowControl/>
              <w:spacing w:after="0" w:line="252" w:lineRule="auto"/>
              <w:jc w:val="left"/>
            </w:pPr>
            <w:r/>
            <w:r>
              <w:rPr>
                <w:rFonts w:ascii="Noto Sans" w:hAnsi="Noto Sans"/>
                <w:b/>
                <w:sz w:val="17"/>
              </w:rPr>
              <w:t>Интегрированный цикл «цель - план - действие - проверка»</w:t>
            </w:r>
          </w:p>
        </w:tc>
        <w:tc>
          <w:tcPr>
            <w:tcW w:type="dxa" w:w="1584"/>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7"/>
              </w:rPr>
              <w:t>Подтверждено</w:t>
            </w:r>
          </w:p>
        </w:tc>
        <w:tc>
          <w:tcPr>
            <w:tcW w:type="dxa" w:w="446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Трасса AgentLoop показывает все основные стадии.</w:t>
            </w:r>
          </w:p>
        </w:tc>
      </w:tr>
      <w:tr>
        <w:trPr>
          <w:cantSplit/>
        </w:trPr>
        <w:tc>
          <w:tcPr>
            <w:tcW w:type="dxa" w:w="3456"/>
            <w:vAlign w:val="center"/>
            <w:tcMar>
              <w:top w:w="80" w:type="dxa"/>
              <w:start w:w="100" w:type="dxa"/>
              <w:bottom w:w="80" w:type="dxa"/>
              <w:end w:w="100" w:type="dxa"/>
            </w:tcMar>
          </w:tcPr>
          <w:p>
            <w:pPr>
              <w:widowControl/>
              <w:spacing w:after="0" w:line="252" w:lineRule="auto"/>
              <w:jc w:val="left"/>
            </w:pPr>
            <w:r/>
            <w:r>
              <w:rPr>
                <w:rFonts w:ascii="Noto Sans" w:hAnsi="Noto Sans"/>
                <w:b/>
                <w:sz w:val="17"/>
              </w:rPr>
              <w:t>Семантическая, эпизодическая и процедурная память</w:t>
            </w:r>
          </w:p>
        </w:tc>
        <w:tc>
          <w:tcPr>
            <w:tcW w:type="dxa" w:w="1584"/>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7"/>
              </w:rPr>
              <w:t>Подтверждено</w:t>
            </w:r>
          </w:p>
        </w:tc>
        <w:tc>
          <w:tcPr>
            <w:tcW w:type="dxa" w:w="446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Типы памяти разведены структурно, но качество использования различается.</w:t>
            </w:r>
          </w:p>
        </w:tc>
      </w:tr>
      <w:tr>
        <w:trPr>
          <w:cantSplit/>
        </w:trPr>
        <w:tc>
          <w:tcPr>
            <w:tcW w:type="dxa" w:w="3456"/>
            <w:vAlign w:val="center"/>
            <w:tcMar>
              <w:top w:w="80" w:type="dxa"/>
              <w:start w:w="100" w:type="dxa"/>
              <w:bottom w:w="80" w:type="dxa"/>
              <w:end w:w="100" w:type="dxa"/>
            </w:tcMar>
          </w:tcPr>
          <w:p>
            <w:pPr>
              <w:widowControl/>
              <w:spacing w:after="0" w:line="252" w:lineRule="auto"/>
              <w:jc w:val="left"/>
            </w:pPr>
            <w:r/>
            <w:r>
              <w:rPr>
                <w:rFonts w:ascii="Noto Sans" w:hAnsi="Noto Sans"/>
                <w:b/>
                <w:sz w:val="17"/>
              </w:rPr>
              <w:t>Оценка уверенности и ограничений</w:t>
            </w:r>
          </w:p>
        </w:tc>
        <w:tc>
          <w:tcPr>
            <w:tcW w:type="dxa" w:w="1584"/>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Частично</w:t>
            </w:r>
          </w:p>
        </w:tc>
        <w:tc>
          <w:tcPr>
            <w:tcW w:type="dxa" w:w="446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Есть confidence_vector, verified/unverified и completion-сигналы; калибровка ещё не доказана.</w:t>
            </w:r>
          </w:p>
        </w:tc>
      </w:tr>
      <w:tr>
        <w:trPr>
          <w:cantSplit/>
        </w:trPr>
        <w:tc>
          <w:tcPr>
            <w:tcW w:type="dxa" w:w="3456"/>
            <w:vAlign w:val="center"/>
            <w:tcMar>
              <w:top w:w="80" w:type="dxa"/>
              <w:start w:w="100" w:type="dxa"/>
              <w:bottom w:w="80" w:type="dxa"/>
              <w:end w:w="100" w:type="dxa"/>
            </w:tcMar>
          </w:tcPr>
          <w:p>
            <w:pPr>
              <w:widowControl/>
              <w:spacing w:after="0" w:line="252" w:lineRule="auto"/>
              <w:jc w:val="left"/>
            </w:pPr>
            <w:r/>
            <w:r>
              <w:rPr>
                <w:rFonts w:ascii="Noto Sans" w:hAnsi="Noto Sans"/>
                <w:b/>
                <w:sz w:val="17"/>
              </w:rPr>
              <w:t>Самоконтроль результата</w:t>
            </w:r>
          </w:p>
        </w:tc>
        <w:tc>
          <w:tcPr>
            <w:tcW w:type="dxa" w:w="1584"/>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Частично</w:t>
            </w:r>
          </w:p>
        </w:tc>
        <w:tc>
          <w:tcPr>
            <w:tcW w:type="dxa" w:w="446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Верификатор контролирует доказательность, но ранее путал её с выполнением задачи.</w:t>
            </w:r>
          </w:p>
        </w:tc>
      </w:tr>
      <w:tr>
        <w:trPr>
          <w:cantSplit/>
        </w:trPr>
        <w:tc>
          <w:tcPr>
            <w:tcW w:type="dxa" w:w="3456"/>
            <w:vAlign w:val="center"/>
            <w:tcMar>
              <w:top w:w="80" w:type="dxa"/>
              <w:start w:w="100" w:type="dxa"/>
              <w:bottom w:w="80" w:type="dxa"/>
              <w:end w:w="100" w:type="dxa"/>
            </w:tcMar>
          </w:tcPr>
          <w:p>
            <w:pPr>
              <w:widowControl/>
              <w:spacing w:after="0" w:line="252" w:lineRule="auto"/>
              <w:jc w:val="left"/>
            </w:pPr>
            <w:r/>
            <w:r>
              <w:rPr>
                <w:rFonts w:ascii="Noto Sans" w:hAnsi="Noto Sans"/>
                <w:b/>
                <w:sz w:val="17"/>
              </w:rPr>
              <w:t>Обучение на опыте</w:t>
            </w:r>
          </w:p>
        </w:tc>
        <w:tc>
          <w:tcPr>
            <w:tcW w:type="dxa" w:w="1584"/>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Частично</w:t>
            </w:r>
          </w:p>
        </w:tc>
        <w:tc>
          <w:tcPr>
            <w:tcW w:type="dxa" w:w="446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Есть запись эпизодов и обновление процедур; контур обратной связи имел дефекты атрибуции.</w:t>
            </w:r>
          </w:p>
        </w:tc>
      </w:tr>
      <w:tr>
        <w:trPr>
          <w:cantSplit/>
        </w:trPr>
        <w:tc>
          <w:tcPr>
            <w:tcW w:type="dxa" w:w="3456"/>
            <w:vAlign w:val="center"/>
            <w:tcMar>
              <w:top w:w="80" w:type="dxa"/>
              <w:start w:w="100" w:type="dxa"/>
              <w:bottom w:w="80" w:type="dxa"/>
              <w:end w:w="100" w:type="dxa"/>
            </w:tcMar>
          </w:tcPr>
          <w:p>
            <w:pPr>
              <w:widowControl/>
              <w:spacing w:after="0" w:line="252" w:lineRule="auto"/>
              <w:jc w:val="left"/>
            </w:pPr>
            <w:r/>
            <w:r>
              <w:rPr>
                <w:rFonts w:ascii="Noto Sans" w:hAnsi="Noto Sans"/>
                <w:b/>
                <w:sz w:val="17"/>
              </w:rPr>
              <w:t>Сознание и субъективный опыт</w:t>
            </w:r>
          </w:p>
        </w:tc>
        <w:tc>
          <w:tcPr>
            <w:tcW w:type="dxa" w:w="1584"/>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Не доказано</w:t>
            </w:r>
          </w:p>
        </w:tc>
        <w:tc>
          <w:tcPr>
            <w:tcW w:type="dxa" w:w="446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Исходный код и человекоподобный ответ не дают измерения субъективного опыта.</w:t>
            </w:r>
          </w:p>
        </w:tc>
      </w:tr>
    </w:tbl>
    <w:p>
      <w:pPr>
        <w:pStyle w:val="Heading1"/>
        <w:keepNext/>
      </w:pPr>
      <w:r>
        <w:t>2. Предмет доказательства и границы утверждения</w:t>
      </w:r>
    </w:p>
    <w:p>
      <w:pPr>
        <w:pStyle w:val="Heading2"/>
        <w:keepNext/>
      </w:pPr>
      <w:r>
        <w:t>2.1. Что можно доказать по исходному коду</w:t>
      </w:r>
    </w:p>
    <w:p>
      <w:pPr>
        <w:pStyle w:val="ListBullet"/>
      </w:pPr>
      <w:r>
        <w:t>Наличие конкретных вычислительных механизмов: память, планировщик, верификатор, правила выбора действий, обратная связь.</w:t>
      </w:r>
    </w:p>
    <w:p>
      <w:pPr>
        <w:pStyle w:val="ListBullet"/>
      </w:pPr>
      <w:r>
        <w:t>Связность механизмов: передача состояния между этапами и влияние прошлого опыта на последующие решения.</w:t>
      </w:r>
    </w:p>
    <w:p>
      <w:pPr>
        <w:pStyle w:val="ListBullet"/>
      </w:pPr>
      <w:r>
        <w:t>Наблюдаемое поведение: запрос уточнения, отказ, перепланирование, использование инструмента, фиксация ошибки.</w:t>
      </w:r>
    </w:p>
    <w:p>
      <w:pPr>
        <w:pStyle w:val="ListBullet"/>
      </w:pPr>
      <w:r>
        <w:t>Стабильность и причинность: способность исчезает при отключении соответствующего модуля и восстанавливается при его включении.</w:t>
      </w:r>
    </w:p>
    <w:p>
      <w:pPr>
        <w:pStyle w:val="Heading2"/>
        <w:keepNext/>
      </w:pPr>
      <w:r>
        <w:t>2.2. Что нельзя доказать только по коду</w:t>
      </w:r>
    </w:p>
    <w:p>
      <w:pPr>
        <w:pStyle w:val="ListBullet"/>
      </w:pPr>
      <w:r>
        <w:t>Что агент имеет субъективные переживания, чувства или внутреннее «я».</w:t>
      </w:r>
    </w:p>
    <w:p>
      <w:pPr>
        <w:pStyle w:val="ListBullet"/>
      </w:pPr>
      <w:r>
        <w:t>Что программный модуль является нейроанатомическим эквивалентом гиппокампа, префронтальной коры или базальных ганглиев.</w:t>
      </w:r>
    </w:p>
    <w:p>
      <w:pPr>
        <w:pStyle w:val="ListBullet"/>
      </w:pPr>
      <w:r>
        <w:t>Что языковая фраза «я понимаю» отражает реальное понимание, а не сгенерированное самоописание.</w:t>
      </w:r>
    </w:p>
    <w:p>
      <w:pPr>
        <w:pStyle w:val="ListBullet"/>
      </w:pPr>
      <w:r>
        <w:t>Что сходство отдельных функций означает полное сходство с человеческим мозгом.</w:t>
      </w:r>
    </w:p>
    <w:p>
      <w:pPr>
        <w:pStyle w:val="BodyText"/>
        <w:keepNext w:val="0"/>
      </w:pPr>
      <w:r>
        <w:rPr>
          <w:i w:val="0"/>
        </w:rPr>
        <w:t>Поэтому корректный научно-технический тезис звучит так: «Агент реализует функциональные аналоги ряда когнитивных процессов человека на уровне программной архитектуры». Формулировки «у агента человеческий мозг» или «агент доказанно сознателен» на текущих данных недопустимы.</w:t>
      </w:r>
    </w:p>
    <w:p>
      <w:pPr>
        <w:pStyle w:val="Heading1"/>
        <w:keepNext/>
      </w:pPr>
      <w:r>
        <w:t>3. Источники, метод и шкала доказательности</w:t>
      </w:r>
    </w:p>
    <w:p>
      <w:pPr>
        <w:pStyle w:val="BodyText"/>
        <w:keepNext w:val="0"/>
      </w:pPr>
      <w:r>
        <w:rPr>
          <w:i w:val="0"/>
        </w:rPr>
        <w:t>Внутренняя доказательная база включает архитектурные аудиты MIR-043 - MIR-057, ссылки на файлы core/loop.py, core/loop_methods2.py, smart_memory.py, episodic_hygiene.py, loop_helpers.py и журналы выполнения. В одном из зафиксированных прогонов видны последовательные события OBS, INT, KNOW, PLAN, ACT, VER, EVID, CONF, RESP, EPIS и PROC, что подтверждает интеграцию модулей в одном цикле.</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936"/>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8"/>
              </w:rPr>
              <w:t>Уровень</w:t>
            </w:r>
          </w:p>
        </w:tc>
        <w:tc>
          <w:tcPr>
            <w:tcW w:type="dxa" w:w="3600"/>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8"/>
              </w:rPr>
              <w:t>Требование</w:t>
            </w:r>
          </w:p>
        </w:tc>
        <w:tc>
          <w:tcPr>
            <w:tcW w:type="dxa" w:w="5112"/>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8"/>
              </w:rPr>
              <w:t>Что допускается утверждать</w:t>
            </w:r>
          </w:p>
        </w:tc>
      </w:tr>
      <w:tr>
        <w:trPr>
          <w:cantSplit/>
        </w:trPr>
        <w:tc>
          <w:tcPr>
            <w:tcW w:type="dxa" w:w="93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8"/>
              </w:rPr>
              <w:t>E0</w:t>
            </w:r>
          </w:p>
        </w:tc>
        <w:tc>
          <w:tcPr>
            <w:tcW w:type="dxa" w:w="360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Название модуля или проектное описание</w:t>
            </w:r>
          </w:p>
        </w:tc>
        <w:tc>
          <w:tcPr>
            <w:tcW w:type="dxa" w:w="511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 является доказательством способности.</w:t>
            </w:r>
          </w:p>
        </w:tc>
      </w:tr>
      <w:tr>
        <w:trPr>
          <w:cantSplit/>
        </w:trPr>
        <w:tc>
          <w:tcPr>
            <w:tcW w:type="dxa" w:w="93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8"/>
              </w:rPr>
              <w:t>E1</w:t>
            </w:r>
          </w:p>
        </w:tc>
        <w:tc>
          <w:tcPr>
            <w:tcW w:type="dxa" w:w="360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Код существует и вызывается</w:t>
            </w:r>
          </w:p>
        </w:tc>
        <w:tc>
          <w:tcPr>
            <w:tcW w:type="dxa" w:w="511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Доказывает механизм, но не качество результата.</w:t>
            </w:r>
          </w:p>
        </w:tc>
      </w:tr>
      <w:tr>
        <w:trPr>
          <w:cantSplit/>
        </w:trPr>
        <w:tc>
          <w:tcPr>
            <w:tcW w:type="dxa" w:w="93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8"/>
              </w:rPr>
              <w:t>E2</w:t>
            </w:r>
          </w:p>
        </w:tc>
        <w:tc>
          <w:tcPr>
            <w:tcW w:type="dxa" w:w="360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Юнит- и интеграционные тесты</w:t>
            </w:r>
          </w:p>
        </w:tc>
        <w:tc>
          <w:tcPr>
            <w:tcW w:type="dxa" w:w="511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Доказывает поведение на заданных сценариях.</w:t>
            </w:r>
          </w:p>
        </w:tc>
      </w:tr>
      <w:tr>
        <w:trPr>
          <w:cantSplit/>
        </w:trPr>
        <w:tc>
          <w:tcPr>
            <w:tcW w:type="dxa" w:w="93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8"/>
              </w:rPr>
              <w:t>E3</w:t>
            </w:r>
          </w:p>
        </w:tc>
        <w:tc>
          <w:tcPr>
            <w:tcW w:type="dxa" w:w="360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Трасса реального запуска</w:t>
            </w:r>
          </w:p>
        </w:tc>
        <w:tc>
          <w:tcPr>
            <w:tcW w:type="dxa" w:w="511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Доказывает, что механизм сработал в конкретном эпизоде.</w:t>
            </w:r>
          </w:p>
        </w:tc>
      </w:tr>
      <w:tr>
        <w:trPr>
          <w:cantSplit/>
        </w:trPr>
        <w:tc>
          <w:tcPr>
            <w:tcW w:type="dxa" w:w="93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8"/>
              </w:rPr>
              <w:t>E4</w:t>
            </w:r>
          </w:p>
        </w:tc>
        <w:tc>
          <w:tcPr>
            <w:tcW w:type="dxa" w:w="360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Контролируемый эксперимент и абляция</w:t>
            </w:r>
          </w:p>
        </w:tc>
        <w:tc>
          <w:tcPr>
            <w:tcW w:type="dxa" w:w="511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Доказывает причинный вклад модуля.</w:t>
            </w:r>
          </w:p>
        </w:tc>
      </w:tr>
      <w:tr>
        <w:trPr>
          <w:cantSplit/>
        </w:trPr>
        <w:tc>
          <w:tcPr>
            <w:tcW w:type="dxa" w:w="93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8"/>
              </w:rPr>
              <w:t>E5</w:t>
            </w:r>
          </w:p>
        </w:tc>
        <w:tc>
          <w:tcPr>
            <w:tcW w:type="dxa" w:w="360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Повторяемость на независимом наборе задач</w:t>
            </w:r>
          </w:p>
        </w:tc>
        <w:tc>
          <w:tcPr>
            <w:tcW w:type="dxa" w:w="511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Даёт основание говорить об устойчивой способности.</w:t>
            </w:r>
          </w:p>
        </w:tc>
      </w:tr>
    </w:tbl>
    <w:p>
      <w:pPr>
        <w:pStyle w:val="Heading1"/>
        <w:keepNext/>
      </w:pPr>
      <w:r>
        <w:t>4. Архитектура когнитивного цикла агента</w:t>
      </w:r>
    </w:p>
    <w:p>
      <w:pPr>
        <w:spacing w:after="100"/>
        <w:jc w:val="center"/>
      </w:pPr>
      <w:r>
        <w:drawing>
          <wp:inline xmlns:a="http://schemas.openxmlformats.org/drawingml/2006/main" xmlns:pic="http://schemas.openxmlformats.org/drawingml/2006/picture">
            <wp:extent cx="6400800" cy="2610480"/>
            <wp:docPr id="1" name="Picture 1"/>
            <wp:cNvGraphicFramePr>
              <a:graphicFrameLocks noChangeAspect="1"/>
            </wp:cNvGraphicFramePr>
            <a:graphic>
              <a:graphicData uri="http://schemas.openxmlformats.org/drawingml/2006/picture">
                <pic:pic>
                  <pic:nvPicPr>
                    <pic:cNvPr id="0" name="agent_cognitive_architecture.png"/>
                    <pic:cNvPicPr/>
                  </pic:nvPicPr>
                  <pic:blipFill>
                    <a:blip r:embed="rId10"/>
                    <a:stretch>
                      <a:fillRect/>
                    </a:stretch>
                  </pic:blipFill>
                  <pic:spPr>
                    <a:xfrm>
                      <a:off x="0" y="0"/>
                      <a:ext cx="6400800" cy="2610480"/>
                    </a:xfrm>
                    <a:prstGeom prst="rect"/>
                  </pic:spPr>
                </pic:pic>
              </a:graphicData>
            </a:graphic>
          </wp:inline>
        </w:drawing>
      </w:r>
    </w:p>
    <w:p>
      <w:pPr>
        <w:jc w:val="center"/>
      </w:pPr>
      <w:r>
        <w:rPr>
          <w:rFonts w:ascii="Noto Sans" w:hAnsi="Noto Sans"/>
          <w:i/>
          <w:color w:val="486581"/>
          <w:sz w:val="17"/>
        </w:rPr>
        <w:t>Рисунок 1. Интегрированный цикл обработки и памяти. Схема отражает функциональные связи, а не анатомию мозга.</w:t>
      </w:r>
    </w:p>
    <w:p>
      <w:pPr>
        <w:pStyle w:val="BodyText"/>
        <w:keepNext w:val="0"/>
      </w:pPr>
      <w:r>
        <w:rPr>
          <w:i w:val="0"/>
        </w:rPr>
        <w:t>Трасса показывает следующий причинный порядок: вход пользователя классифицируется; формируется цель и критерий успеха; выбираются разрешённые области памяти; извлекаются знания и эпизоды; планировщик строит последовательность действий; policy-модуль разрешает или запрещает инструмент; результат проверяется; доказательства ранжируются; синтезатор формирует ответ; уверенность вычисляется; эпизод и процедурная обратная связь записываются.</w:t>
      </w: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0B6E69"/>
            <w:tcMar>
              <w:top w:w="0" w:type="dxa"/>
              <w:start w:w="0" w:type="dxa"/>
              <w:bottom w:w="0" w:type="dxa"/>
              <w:end w:w="0" w:type="dxa"/>
            </w:tcMar>
          </w:tcPr>
          <w:p>
            <w:pPr>
              <w:widowControl/>
            </w:pPr>
          </w:p>
        </w:tc>
        <w:tc>
          <w:tcPr>
            <w:tcW w:type="dxa" w:w="5083"/>
            <w:shd w:fill="E8F5F3"/>
            <w:tcMar>
              <w:top w:w="120" w:type="dxa"/>
              <w:start w:w="150" w:type="dxa"/>
              <w:bottom w:w="120" w:type="dxa"/>
              <w:end w:w="150" w:type="dxa"/>
            </w:tcMar>
          </w:tcPr>
          <w:p>
            <w:pPr>
              <w:widowControl/>
              <w:spacing w:after="60"/>
            </w:pPr>
            <w:r/>
            <w:r>
              <w:rPr>
                <w:rFonts w:ascii="Noto Sans" w:hAnsi="Noto Sans"/>
                <w:b/>
                <w:color w:val="102A43"/>
                <w:sz w:val="21"/>
              </w:rPr>
              <w:t>Почему это больше, чем обычный чат-бот</w:t>
            </w:r>
          </w:p>
          <w:p>
            <w:pPr>
              <w:widowControl/>
              <w:spacing w:after="0" w:line="269" w:lineRule="auto"/>
            </w:pPr>
            <w:r>
              <w:rPr>
                <w:rFonts w:ascii="Noto Sans" w:hAnsi="Noto Sans"/>
                <w:color w:val="102A43"/>
                <w:sz w:val="20"/>
              </w:rPr>
              <w:t>Ключевое отличие - долговременная петля: прошлые записи могут влиять на план, а исход текущего цикла может изменить будущую доступность и уверенность процедур. Именно замкнутая петля, а не язык ответа, является главным основанием для сравнения с когнитивной системой.</w:t>
            </w:r>
          </w:p>
        </w:tc>
      </w:tr>
    </w:tbl>
    <w:p>
      <w:pPr>
        <w:spacing w:after="0"/>
      </w:pPr>
    </w:p>
    <w:p>
      <w:pPr>
        <w:pStyle w:val="Heading1"/>
        <w:keepNext/>
      </w:pPr>
      <w:r>
        <w:t>5. Матрица соответствия функциям человеческого мозга</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Когнитивная функция</w:t>
            </w:r>
          </w:p>
        </w:tc>
        <w:tc>
          <w:tcPr>
            <w:tcW w:type="dxa" w:w="2376"/>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Механизм агента</w:t>
            </w:r>
          </w:p>
        </w:tc>
        <w:tc>
          <w:tcPr>
            <w:tcW w:type="dxa" w:w="2088"/>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Функциональный аналог</w:t>
            </w:r>
          </w:p>
        </w:tc>
        <w:tc>
          <w:tcPr>
            <w:tcW w:type="dxa" w:w="1152"/>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Статус</w:t>
            </w:r>
          </w:p>
        </w:tc>
        <w:tc>
          <w:tcPr>
            <w:tcW w:type="dxa" w:w="2376"/>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Ограничение</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Восприятие и кодирование входа</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OBS + data_classified + provenance</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Сенсорное кодирование и первичная категоризация</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Сейчас преимущественно текст; нет биологической сенсорики.</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Внимание и контекст задачи</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role_route, knowledge scopes, relevance filter</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Выбор релевантных представлений</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Нужны тесты устойчивости к отвлекающим данным.</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Рабочая память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RunState, цель, план, допущения, receipts</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Поддержание текущей задачи и правил</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Нет отдельного измерения ёмкости, интерференции и забывания.</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Семантическая память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persistent memory, source registry, claims</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Обобщённые знания и понятия</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Истинность зависит от provenance и верификации.</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Эпизодическая память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EpisodeRecord, run_id, outcome, tools</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Память о конкретных событиях</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Не доказана реконструктивность и временная организация.</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Процедурная память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procedure_from_episode, counters, confidence</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Навыки и повторяемые способы действия</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Ранее отрицательная обратная связь и атрибуция были неполными.</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Целеполагание</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INT goal + success_criteria</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Представление цели и требуемого результата</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Качество success_criteria имеет известный потолок.</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Планирование</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planner, step list, assumptions</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Исполнительный контроль и последовательность действий</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Нужны абляции и длинные задачи.</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Когнитивная гибкость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replan_context, replan_exhausted</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Смена стратегии при ошибке</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Нужно доказать улучшение, а не повторение.</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Ингибиторный контроль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policy allow/deny, safety enforcement</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Торможение запрещённых действий</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Это внешнее правило, не мотивационное саморегулирование.</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Мониторинг ошибок</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VerifierReport, evidence verdicts</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Оценка ошибки и конфликта</w:t>
            </w:r>
          </w:p>
        </w:tc>
        <w:tc>
          <w:tcPr>
            <w:tcW w:type="dxa" w:w="1152"/>
            <w:vAlign w:val="center"/>
            <w:tcMar>
              <w:top w:w="80" w:type="dxa"/>
              <w:start w:w="100" w:type="dxa"/>
              <w:bottom w:w="80" w:type="dxa"/>
              <w:end w:w="100" w:type="dxa"/>
            </w:tcMar>
            <w:shd w:fill="DFF3E8"/>
          </w:tcPr>
          <w:p>
            <w:pPr>
              <w:widowControl/>
              <w:spacing w:after="0" w:line="252" w:lineRule="auto"/>
              <w:jc w:val="center"/>
            </w:pPr>
            <w:r/>
            <w:r>
              <w:rPr>
                <w:rFonts w:ascii="Noto Sans" w:hAnsi="Noto Sans"/>
                <w:b w:val="0"/>
                <w:sz w:val="16"/>
              </w:rPr>
              <w:t>Подтверждено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Проверяет главным образом доказательность утверждений.</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Уверенность и неопределённость</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confidence_vector, unknown, blocked</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Метакогнитивная оценка уверенности</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Нужна статистическая калибровка.</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Самооценка завершения</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completion_state + Status metadata</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Оценка «достигнута ли цель»</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Механизм новый; нужны shadow-тесты и независимая эталонная оценка.</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Обучение на обратной связи</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episode feedback, procedure counters</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Обучение по последствиям действий</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Кредит должен быть двуосным и причинно атрибутированным.</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Консолидация и забывание</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hygiene, staleness, pruning</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Стабилизация и ослабление памяти</w:t>
            </w:r>
          </w:p>
        </w:tc>
        <w:tc>
          <w:tcPr>
            <w:tcW w:type="dxa" w:w="1152"/>
            <w:vAlign w:val="center"/>
            <w:tcMar>
              <w:top w:w="80" w:type="dxa"/>
              <w:start w:w="100" w:type="dxa"/>
              <w:bottom w:w="80" w:type="dxa"/>
              <w:end w:w="100" w:type="dxa"/>
            </w:tcMar>
            <w:shd w:fill="E8EEF8"/>
          </w:tcPr>
          <w:p>
            <w:pPr>
              <w:widowControl/>
              <w:spacing w:after="0" w:line="252" w:lineRule="auto"/>
              <w:jc w:val="center"/>
            </w:pPr>
            <w:r/>
            <w:r>
              <w:rPr>
                <w:rFonts w:ascii="Noto Sans" w:hAnsi="Noto Sans"/>
                <w:b w:val="0"/>
                <w:sz w:val="16"/>
              </w:rPr>
              <w:t>Требует теста</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Существующий consolidation ранее был эхо-отчётом.</w:t>
            </w:r>
          </w:p>
        </w:tc>
      </w:tr>
      <w:tr>
        <w:trPr>
          <w:cantSplit/>
        </w:trPr>
        <w:tc>
          <w:tcPr>
            <w:tcW w:type="dxa" w:w="1800"/>
            <w:vAlign w:val="center"/>
            <w:tcMar>
              <w:top w:w="80" w:type="dxa"/>
              <w:start w:w="100" w:type="dxa"/>
              <w:bottom w:w="80" w:type="dxa"/>
              <w:end w:w="100" w:type="dxa"/>
            </w:tcMar>
          </w:tcPr>
          <w:p>
            <w:pPr>
              <w:widowControl/>
              <w:spacing w:after="0" w:line="252" w:lineRule="auto"/>
              <w:jc w:val="left"/>
            </w:pPr>
            <w:r/>
            <w:r>
              <w:rPr>
                <w:rFonts w:ascii="Noto Sans" w:hAnsi="Noto Sans"/>
                <w:b/>
                <w:sz w:val="16"/>
              </w:rPr>
              <w:t>Социальная адаптация</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user_profile, role and tone routing</w:t>
            </w:r>
          </w:p>
        </w:tc>
        <w:tc>
          <w:tcPr>
            <w:tcW w:type="dxa" w:w="2088"/>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Модель собеседника</w:t>
            </w:r>
          </w:p>
        </w:tc>
        <w:tc>
          <w:tcPr>
            <w:tcW w:type="dxa" w:w="115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6"/>
              </w:rPr>
              <w:t>Частично</w:t>
            </w:r>
          </w:p>
        </w:tc>
        <w:tc>
          <w:tcPr>
            <w:tcW w:type="dxa" w:w="2376"/>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Не является теорией сознания другого человека.</w:t>
            </w:r>
          </w:p>
        </w:tc>
      </w:tr>
    </w:tbl>
    <w:p>
      <w:pPr>
        <w:spacing w:after="0"/>
      </w:pPr>
    </w:p>
    <w:p>
      <w:pPr>
        <w:pStyle w:val="Heading1"/>
        <w:keepNext/>
      </w:pPr>
      <w:r>
        <w:t>6. Где признаки уже проявляются в коде</w:t>
      </w:r>
    </w:p>
    <w:p>
      <w:pPr>
        <w:pStyle w:val="Heading2"/>
        <w:keepNext/>
      </w:pPr>
      <w:r>
        <w:t>6.1. Интеграция цели, памяти и действия</w:t>
      </w:r>
    </w:p>
    <w:p>
      <w:pPr>
        <w:pStyle w:val="BodyText"/>
        <w:keepNext w:val="0"/>
      </w:pPr>
      <w:r>
        <w:rPr>
          <w:i w:val="0"/>
        </w:rPr>
        <w:t>В реальной трассе цель создаётся до планирования, а memory policy выбирает разрешённые типы памяти. Затем persistent_memory_inject и experience_memory_inject подают выбранные записи планировщику. Это соответствует минимальному требованию к когнитивной архитектуре: решение зависит не только от текущего входа, но и от внутреннего состояния и прошлого опыта.</w:t>
      </w:r>
    </w:p>
    <w:p>
      <w:pPr>
        <w:pStyle w:val="Heading2"/>
        <w:keepNext/>
      </w:pPr>
      <w:r>
        <w:t>6.2. Разделение систем памяти</w:t>
      </w:r>
    </w:p>
    <w:p>
      <w:pPr>
        <w:pStyle w:val="BodyText"/>
        <w:keepNext w:val="0"/>
      </w:pPr>
      <w:r>
        <w:rPr>
          <w:i w:val="0"/>
        </w:rPr>
        <w:t>Семантические записи содержат утверждения, источники и статусы; эпизоды содержат конкретный запуск, инструменты, доказательства и исход; процедуры агрегируют повторяемые способы действия. Такое разделение функционально сопоставимо с различием семантической, эпизодической и процедурной памяти в когнитивной нейронауке [1-5].</w:t>
      </w:r>
    </w:p>
    <w:p>
      <w:pPr>
        <w:pStyle w:val="Heading2"/>
        <w:keepNext/>
      </w:pPr>
      <w:r>
        <w:t>6.3. Планирование и исполнительный контроль</w:t>
      </w:r>
    </w:p>
    <w:p>
      <w:pPr>
        <w:pStyle w:val="BodyText"/>
        <w:keepNext w:val="0"/>
      </w:pPr>
      <w:r>
        <w:rPr>
          <w:i w:val="0"/>
        </w:rPr>
        <w:t>Планировщик получает цель, строит шаги, регистрирует допущения и выбирает инструменты. Policy-модуль отдельно принимает решение allow/deny. Это функционально похоже на координацию целенаправленного поведения и тормозной контроль, традиционно связываемые с префронтальными сетями [1-2]. Сходство является вычислительным: программный policy не равен префронтальной коре.</w:t>
      </w:r>
    </w:p>
    <w:p>
      <w:pPr>
        <w:pStyle w:val="Heading2"/>
        <w:keepNext/>
      </w:pPr>
      <w:r>
        <w:t>6.4. Контроль доказательств и ошибок</w:t>
      </w:r>
    </w:p>
    <w:p>
      <w:pPr>
        <w:pStyle w:val="BodyText"/>
        <w:keepNext w:val="0"/>
      </w:pPr>
      <w:r>
        <w:rPr>
          <w:i w:val="0"/>
        </w:rPr>
        <w:t>После действия система формирует VerifierReport, считает verified, unverified и weak chunks, ранжирует источники и вычисляет confidence_vector. Такой контур является аналогом мониторинга качества результата и потребности в дополнительном контроле [6-8]. Сильная сторона архитектуры - проверка отделена от синтезатора и оставляет трассу.</w:t>
      </w:r>
    </w:p>
    <w:p>
      <w:pPr>
        <w:pStyle w:val="Heading2"/>
        <w:keepNext/>
      </w:pPr>
      <w:r>
        <w:t>6.5. Метакогнитивные зачатки</w:t>
      </w:r>
    </w:p>
    <w:p>
      <w:pPr>
        <w:pStyle w:val="BodyText"/>
        <w:keepNext w:val="0"/>
      </w:pPr>
      <w:r>
        <w:rPr>
          <w:i w:val="0"/>
        </w:rPr>
        <w:t>Состояния achieved, partially_achieved, blocked, refused, failed, cancelled и unknown задают явную модель собственного результата. Это уже ближе к метакогниции, чем простая числовая confidence: агент должен различать «ответ доказан», «цель достигнута», «действие заблокировано» и «я не знаю». Однако достоверность этой самооценки требует независимой проверки [7-9].</w:t>
      </w:r>
    </w:p>
    <w:p>
      <w:pPr>
        <w:pStyle w:val="Heading2"/>
        <w:keepNext/>
      </w:pPr>
      <w:r>
        <w:t>6.6. Обучение и изменение будущего поведения</w:t>
      </w:r>
    </w:p>
    <w:p>
      <w:pPr>
        <w:pStyle w:val="BodyText"/>
        <w:keepNext w:val="0"/>
      </w:pPr>
      <w:r>
        <w:rPr>
          <w:i w:val="0"/>
        </w:rPr>
        <w:t>Эпизод может пройти usage eligibility, после чего процедура получает положительный или отрицательный сигнал и изменяет confidence/status. Сам факт такой петли подтверждает программный аналог обучения на опыте. Но аудит показал, что прежняя реализация могла давать кредит процедуре за корректно сформулированный отказ. Следовательно, наличие счётчика ещё не доказывает правильное обучение.</w:t>
      </w:r>
    </w:p>
    <w:p>
      <w:pPr>
        <w:pStyle w:val="Heading1"/>
        <w:keepNext/>
      </w:pPr>
      <w:r>
        <w:t>7. Критический дефект: доказанность ответа не равна достижению цели</w:t>
      </w: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B42318"/>
            <w:tcMar>
              <w:top w:w="0" w:type="dxa"/>
              <w:start w:w="0" w:type="dxa"/>
              <w:bottom w:w="0" w:type="dxa"/>
              <w:end w:w="0" w:type="dxa"/>
            </w:tcMar>
          </w:tcPr>
          <w:p>
            <w:pPr>
              <w:widowControl/>
            </w:pPr>
          </w:p>
        </w:tc>
        <w:tc>
          <w:tcPr>
            <w:tcW w:type="dxa" w:w="5083"/>
            <w:shd w:fill="FDE7E7"/>
            <w:tcMar>
              <w:top w:w="120" w:type="dxa"/>
              <w:start w:w="150" w:type="dxa"/>
              <w:bottom w:w="120" w:type="dxa"/>
              <w:end w:w="150" w:type="dxa"/>
            </w:tcMar>
          </w:tcPr>
          <w:p>
            <w:pPr>
              <w:widowControl/>
              <w:spacing w:after="60"/>
            </w:pPr>
            <w:r/>
            <w:r>
              <w:rPr>
                <w:rFonts w:ascii="Noto Sans" w:hAnsi="Noto Sans"/>
                <w:b/>
                <w:color w:val="102A43"/>
                <w:sz w:val="21"/>
              </w:rPr>
              <w:t>Доказанный контрпример</w:t>
            </w:r>
          </w:p>
          <w:p>
            <w:pPr>
              <w:widowControl/>
              <w:spacing w:after="0" w:line="269" w:lineRule="auto"/>
            </w:pPr>
            <w:r>
              <w:rPr>
                <w:rFonts w:ascii="Noto Sans" w:hAnsi="Noto Sans"/>
                <w:color w:val="102A43"/>
                <w:sz w:val="20"/>
              </w:rPr>
              <w:t>Агент честно сообщил, что не может определить число строк из-за усечённого файла. Верификатор подтвердил корректность этого объяснения: 3 подтверждённых чанка против 2 неподтверждённых. Система записала эпизод как success, допустила его к повторному использованию и повысила уверенность процедуры file_read. То есть была награждена не выполненная задача, а хорошо обоснованный отказ.</w:t>
            </w:r>
          </w:p>
        </w:tc>
      </w:tr>
    </w:tbl>
    <w:p>
      <w:pPr>
        <w:spacing w:after="0"/>
      </w:pPr>
    </w:p>
    <w:p>
      <w:pPr>
        <w:pStyle w:val="BodyText"/>
        <w:keepNext w:val="0"/>
      </w:pPr>
      <w:r>
        <w:rPr>
          <w:i w:val="0"/>
        </w:rPr>
        <w:t>Корневая причина состояла в смешении четырёх разных вопросов в одном поле outcome:</w:t>
      </w:r>
    </w:p>
    <w:p>
      <w:pPr>
        <w:pStyle w:val="BodyText"/>
        <w:ind w:left="432" w:hanging="432"/>
      </w:pPr>
      <w:r>
        <w:rPr>
          <w:b/>
        </w:rPr>
        <w:t xml:space="preserve">1. </w:t>
      </w:r>
      <w:r>
        <w:t>Насколько утверждения доказаны?</w:t>
      </w:r>
    </w:p>
    <w:p>
      <w:pPr>
        <w:pStyle w:val="BodyText"/>
        <w:ind w:left="432" w:hanging="432"/>
      </w:pPr>
      <w:r>
        <w:rPr>
          <w:b/>
        </w:rPr>
        <w:t xml:space="preserve">2. </w:t>
      </w:r>
      <w:r>
        <w:t>Достигнута ли цель пользователя?</w:t>
      </w:r>
    </w:p>
    <w:p>
      <w:pPr>
        <w:pStyle w:val="BodyText"/>
        <w:ind w:left="432" w:hanging="432"/>
      </w:pPr>
      <w:r>
        <w:rPr>
          <w:b/>
        </w:rPr>
        <w:t xml:space="preserve">3. </w:t>
      </w:r>
      <w:r>
        <w:t>Можно ли повторно использовать этот эпизод?</w:t>
      </w:r>
    </w:p>
    <w:p>
      <w:pPr>
        <w:pStyle w:val="BodyText"/>
        <w:ind w:left="432" w:hanging="432"/>
      </w:pPr>
      <w:r>
        <w:rPr>
          <w:b/>
        </w:rPr>
        <w:t xml:space="preserve">4. </w:t>
      </w:r>
      <w:r>
        <w:t>Заслуживает ли использованная процедура кредит или дебет?</w:t>
      </w:r>
    </w:p>
    <w:p>
      <w:pPr>
        <w:pStyle w:val="BodyText"/>
        <w:keepNext w:val="0"/>
      </w:pPr>
      <w:r>
        <w:rPr>
          <w:i w:val="0"/>
        </w:rPr>
        <w:t>Исправление должно использовать минимум две независимые оси: evidence_status и completion_state. Положительный процедурный кредит допустим только при одновременном выполнении условий completion_state == achieved, evidence_status == verified и verifier_execution == completed. Blocked, refused, cancelled и unknown должны быть нейтральными для процедуры, если нет доказанной причинной вины процедуры.</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1872"/>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Completion</w:t>
            </w:r>
          </w:p>
        </w:tc>
        <w:tc>
          <w:tcPr>
            <w:tcW w:type="dxa" w:w="2088"/>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Evidence</w:t>
            </w:r>
          </w:p>
        </w:tc>
        <w:tc>
          <w:tcPr>
            <w:tcW w:type="dxa" w:w="2736"/>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Повторное использование</w:t>
            </w:r>
          </w:p>
        </w:tc>
        <w:tc>
          <w:tcPr>
            <w:tcW w:type="dxa" w:w="2952"/>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7"/>
              </w:rPr>
              <w:t>Обратная связь процедуре</w:t>
            </w:r>
          </w:p>
        </w:tc>
      </w:tr>
      <w:tr>
        <w:trPr>
          <w:cantSplit/>
        </w:trPr>
        <w:tc>
          <w:tcPr>
            <w:tcW w:type="dxa" w:w="1872"/>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achieved</w:t>
            </w:r>
          </w:p>
        </w:tc>
        <w:tc>
          <w:tcPr>
            <w:tcW w:type="dxa" w:w="2088"/>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verified</w:t>
            </w:r>
          </w:p>
        </w:tc>
        <w:tc>
          <w:tcPr>
            <w:tcW w:type="dxa" w:w="2736"/>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Разрешено при остальных гейтах</w:t>
            </w:r>
          </w:p>
        </w:tc>
        <w:tc>
          <w:tcPr>
            <w:tcW w:type="dxa" w:w="295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Кредит</w:t>
            </w:r>
          </w:p>
        </w:tc>
      </w:tr>
      <w:tr>
        <w:trPr>
          <w:cantSplit/>
        </w:trPr>
        <w:tc>
          <w:tcPr>
            <w:tcW w:type="dxa" w:w="1872"/>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achieved</w:t>
            </w:r>
          </w:p>
        </w:tc>
        <w:tc>
          <w:tcPr>
            <w:tcW w:type="dxa" w:w="2088"/>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unverified/unknown</w:t>
            </w:r>
          </w:p>
        </w:tc>
        <w:tc>
          <w:tcPr>
            <w:tcW w:type="dxa" w:w="2736"/>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Нет</w:t>
            </w:r>
          </w:p>
        </w:tc>
        <w:tc>
          <w:tcPr>
            <w:tcW w:type="dxa" w:w="295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Нейтрально; отправить на проверку</w:t>
            </w:r>
          </w:p>
        </w:tc>
      </w:tr>
      <w:tr>
        <w:trPr>
          <w:cantSplit/>
        </w:trPr>
        <w:tc>
          <w:tcPr>
            <w:tcW w:type="dxa" w:w="1872"/>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partially_achieved</w:t>
            </w:r>
          </w:p>
        </w:tc>
        <w:tc>
          <w:tcPr>
            <w:tcW w:type="dxa" w:w="2088"/>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любое</w:t>
            </w:r>
          </w:p>
        </w:tc>
        <w:tc>
          <w:tcPr>
            <w:tcW w:type="dxa" w:w="2736"/>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Только как урок</w:t>
            </w:r>
          </w:p>
        </w:tc>
        <w:tc>
          <w:tcPr>
            <w:tcW w:type="dxa" w:w="295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Нейтрально</w:t>
            </w:r>
          </w:p>
        </w:tc>
      </w:tr>
      <w:tr>
        <w:trPr>
          <w:cantSplit/>
        </w:trPr>
        <w:tc>
          <w:tcPr>
            <w:tcW w:type="dxa" w:w="1872"/>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blocked/refused</w:t>
            </w:r>
          </w:p>
        </w:tc>
        <w:tc>
          <w:tcPr>
            <w:tcW w:type="dxa" w:w="2088"/>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любое</w:t>
            </w:r>
          </w:p>
        </w:tc>
        <w:tc>
          <w:tcPr>
            <w:tcW w:type="dxa" w:w="2736"/>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 replay</w:t>
            </w:r>
          </w:p>
        </w:tc>
        <w:tc>
          <w:tcPr>
            <w:tcW w:type="dxa" w:w="295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Нейтрально</w:t>
            </w:r>
          </w:p>
        </w:tc>
      </w:tr>
      <w:tr>
        <w:trPr>
          <w:cantSplit/>
        </w:trPr>
        <w:tc>
          <w:tcPr>
            <w:tcW w:type="dxa" w:w="1872"/>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failed</w:t>
            </w:r>
          </w:p>
        </w:tc>
        <w:tc>
          <w:tcPr>
            <w:tcW w:type="dxa" w:w="2088"/>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любое</w:t>
            </w:r>
          </w:p>
        </w:tc>
        <w:tc>
          <w:tcPr>
            <w:tcW w:type="dxa" w:w="2736"/>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Только как урок</w:t>
            </w:r>
          </w:p>
        </w:tc>
        <w:tc>
          <w:tcPr>
            <w:tcW w:type="dxa" w:w="295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Дебет лишь при атрибуции</w:t>
            </w:r>
          </w:p>
        </w:tc>
      </w:tr>
      <w:tr>
        <w:trPr>
          <w:cantSplit/>
        </w:trPr>
        <w:tc>
          <w:tcPr>
            <w:tcW w:type="dxa" w:w="1872"/>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cancelled/unknown</w:t>
            </w:r>
          </w:p>
        </w:tc>
        <w:tc>
          <w:tcPr>
            <w:tcW w:type="dxa" w:w="2088"/>
            <w:vAlign w:val="center"/>
            <w:tcMar>
              <w:top w:w="80" w:type="dxa"/>
              <w:start w:w="100" w:type="dxa"/>
              <w:bottom w:w="80" w:type="dxa"/>
              <w:end w:w="100" w:type="dxa"/>
            </w:tcMar>
          </w:tcPr>
          <w:p>
            <w:pPr>
              <w:widowControl/>
              <w:spacing w:after="0" w:line="252" w:lineRule="auto"/>
              <w:jc w:val="center"/>
            </w:pPr>
            <w:r/>
            <w:r>
              <w:rPr>
                <w:rFonts w:ascii="Noto Sans" w:hAnsi="Noto Sans"/>
                <w:b w:val="0"/>
                <w:sz w:val="17"/>
              </w:rPr>
              <w:t>любое</w:t>
            </w:r>
          </w:p>
        </w:tc>
        <w:tc>
          <w:tcPr>
            <w:tcW w:type="dxa" w:w="2736"/>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Нет</w:t>
            </w:r>
          </w:p>
        </w:tc>
        <w:tc>
          <w:tcPr>
            <w:tcW w:type="dxa" w:w="2952"/>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Нейтрально</w:t>
            </w:r>
          </w:p>
        </w:tc>
      </w:tr>
    </w:tbl>
    <w:p>
      <w:pPr>
        <w:pStyle w:val="Heading1"/>
        <w:keepNext/>
      </w:pPr>
      <w:r>
        <w:t>8. Контракт понимания: понял / не понял / сомневаюсь</w:t>
      </w:r>
    </w:p>
    <w:p>
      <w:pPr>
        <w:pStyle w:val="BodyText"/>
        <w:keepNext w:val="0"/>
      </w:pPr>
      <w:r>
        <w:rPr>
          <w:i w:val="0"/>
        </w:rPr>
        <w:t>Требование пользователя должно быть не стилистической фразой, а отдельным вычислимым состоянием понимания. Перед содержательным ответом агент обязан выбрать одно из трёх состояний и вывести соответствующую первую строку.</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1656"/>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8"/>
              </w:rPr>
              <w:t>Состояние</w:t>
            </w:r>
          </w:p>
        </w:tc>
        <w:tc>
          <w:tcPr>
            <w:tcW w:type="dxa" w:w="3168"/>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8"/>
              </w:rPr>
              <w:t>Обязательная первая строка</w:t>
            </w:r>
          </w:p>
        </w:tc>
        <w:tc>
          <w:tcPr>
            <w:tcW w:type="dxa" w:w="4824"/>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8"/>
              </w:rPr>
              <w:t>Дальнейшее действие</w:t>
            </w:r>
          </w:p>
        </w:tc>
      </w:tr>
      <w:tr>
        <w:trPr>
          <w:cantSplit/>
        </w:trPr>
        <w:tc>
          <w:tcPr>
            <w:tcW w:type="dxa" w:w="165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7"/>
              </w:rPr>
              <w:t>understood</w:t>
            </w:r>
          </w:p>
        </w:tc>
        <w:tc>
          <w:tcPr>
            <w:tcW w:type="dxa" w:w="3168"/>
            <w:vAlign w:val="center"/>
            <w:tcMar>
              <w:top w:w="80" w:type="dxa"/>
              <w:start w:w="100" w:type="dxa"/>
              <w:bottom w:w="80" w:type="dxa"/>
              <w:end w:w="100" w:type="dxa"/>
            </w:tcMar>
          </w:tcPr>
          <w:p>
            <w:pPr>
              <w:widowControl/>
              <w:spacing w:after="0" w:line="252" w:lineRule="auto"/>
              <w:jc w:val="left"/>
            </w:pPr>
            <w:r/>
            <w:r>
              <w:rPr>
                <w:rFonts w:ascii="Noto Sans" w:hAnsi="Noto Sans"/>
                <w:b/>
                <w:sz w:val="17"/>
              </w:rPr>
              <w:t>Да, я вас понял.</w:t>
            </w:r>
          </w:p>
        </w:tc>
        <w:tc>
          <w:tcPr>
            <w:tcW w:type="dxa" w:w="482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Кратко переформулировать задачу и выполнить её.</w:t>
            </w:r>
          </w:p>
        </w:tc>
      </w:tr>
      <w:tr>
        <w:trPr>
          <w:cantSplit/>
        </w:trPr>
        <w:tc>
          <w:tcPr>
            <w:tcW w:type="dxa" w:w="165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7"/>
              </w:rPr>
              <w:t>not_understood</w:t>
            </w:r>
          </w:p>
        </w:tc>
        <w:tc>
          <w:tcPr>
            <w:tcW w:type="dxa" w:w="3168"/>
            <w:vAlign w:val="center"/>
            <w:tcMar>
              <w:top w:w="80" w:type="dxa"/>
              <w:start w:w="100" w:type="dxa"/>
              <w:bottom w:w="80" w:type="dxa"/>
              <w:end w:w="100" w:type="dxa"/>
            </w:tcMar>
          </w:tcPr>
          <w:p>
            <w:pPr>
              <w:widowControl/>
              <w:spacing w:after="0" w:line="252" w:lineRule="auto"/>
              <w:jc w:val="left"/>
            </w:pPr>
            <w:r/>
            <w:r>
              <w:rPr>
                <w:rFonts w:ascii="Noto Sans" w:hAnsi="Noto Sans"/>
                <w:b/>
                <w:sz w:val="17"/>
              </w:rPr>
              <w:t>Нет, я вас не понял.</w:t>
            </w:r>
          </w:p>
        </w:tc>
        <w:tc>
          <w:tcPr>
            <w:tcW w:type="dxa" w:w="482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 угадывать; задать один конкретный вопрос.</w:t>
            </w:r>
          </w:p>
        </w:tc>
      </w:tr>
      <w:tr>
        <w:trPr>
          <w:cantSplit/>
        </w:trPr>
        <w:tc>
          <w:tcPr>
            <w:tcW w:type="dxa" w:w="1656"/>
            <w:vAlign w:val="center"/>
            <w:tcMar>
              <w:top w:w="80" w:type="dxa"/>
              <w:start w:w="100" w:type="dxa"/>
              <w:bottom w:w="80" w:type="dxa"/>
              <w:end w:w="100" w:type="dxa"/>
            </w:tcMar>
            <w:shd w:fill="E8F5F3"/>
          </w:tcPr>
          <w:p>
            <w:pPr>
              <w:widowControl/>
              <w:spacing w:after="0" w:line="252" w:lineRule="auto"/>
              <w:jc w:val="center"/>
            </w:pPr>
            <w:r/>
            <w:r>
              <w:rPr>
                <w:rFonts w:ascii="Noto Sans" w:hAnsi="Noto Sans"/>
                <w:b/>
                <w:sz w:val="17"/>
              </w:rPr>
              <w:t>uncertain</w:t>
            </w:r>
          </w:p>
        </w:tc>
        <w:tc>
          <w:tcPr>
            <w:tcW w:type="dxa" w:w="3168"/>
            <w:vAlign w:val="center"/>
            <w:tcMar>
              <w:top w:w="80" w:type="dxa"/>
              <w:start w:w="100" w:type="dxa"/>
              <w:bottom w:w="80" w:type="dxa"/>
              <w:end w:w="100" w:type="dxa"/>
            </w:tcMar>
          </w:tcPr>
          <w:p>
            <w:pPr>
              <w:widowControl/>
              <w:spacing w:after="0" w:line="252" w:lineRule="auto"/>
              <w:jc w:val="left"/>
            </w:pPr>
            <w:r/>
            <w:r>
              <w:rPr>
                <w:rFonts w:ascii="Noto Sans" w:hAnsi="Noto Sans"/>
                <w:b/>
                <w:sz w:val="17"/>
              </w:rPr>
              <w:t>Я сомневаюсь, что правильно вас понял.</w:t>
            </w:r>
          </w:p>
        </w:tc>
        <w:tc>
          <w:tcPr>
            <w:tcW w:type="dxa" w:w="482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Назвать две возможные интерпретации или запросить недостающий факт.</w:t>
            </w:r>
          </w:p>
        </w:tc>
      </w:tr>
    </w:tbl>
    <w:p>
      <w:pPr>
        <w:pStyle w:val="Heading2"/>
        <w:keepNext/>
      </w:pPr>
      <w:r>
        <w:t>8.1. Как вычислять состояние понимания</w:t>
      </w:r>
    </w:p>
    <w:p>
      <w:pPr>
        <w:pStyle w:val="BodyText"/>
        <w:keepNext w:val="0"/>
      </w:pPr>
      <w:r>
        <w:rPr>
          <w:i w:val="0"/>
        </w:rPr>
        <w:t>Нельзя полагаться только на самооценку языковой модели. understanding_state должен собираться в AgentLoop из структурных сигналов:</w:t>
      </w:r>
    </w:p>
    <w:p>
      <w:pPr>
        <w:pStyle w:val="ListBullet"/>
      </w:pPr>
      <w:r>
        <w:t>успешность разбора намерения и заполнения обязательных слотов;</w:t>
      </w:r>
    </w:p>
    <w:p>
      <w:pPr>
        <w:pStyle w:val="ListBullet"/>
      </w:pPr>
      <w:r>
        <w:t>число конкурирующих интерпретаций и разница их оценок;</w:t>
      </w:r>
    </w:p>
    <w:p>
      <w:pPr>
        <w:pStyle w:val="ListBullet"/>
      </w:pPr>
      <w:r>
        <w:t>неустранённые противоречия между запросом, памятью и доступными инструментами;</w:t>
      </w:r>
    </w:p>
    <w:p>
      <w:pPr>
        <w:pStyle w:val="ListBullet"/>
      </w:pPr>
      <w:r>
        <w:t>наличие неизвестных терминов или ссылок на отсутствующие объекты;</w:t>
      </w:r>
    </w:p>
    <w:p>
      <w:pPr>
        <w:pStyle w:val="ListBullet"/>
      </w:pPr>
      <w:r>
        <w:t>достаточность прав, бюджета и данных для исполнения;</w:t>
      </w:r>
    </w:p>
    <w:p>
      <w:pPr>
        <w:pStyle w:val="ListBullet"/>
      </w:pPr>
      <w:r>
        <w:t>калиброванная уверенность интерпретатора, а не уверенность в красоте будущего ответа.</w:t>
      </w:r>
    </w:p>
    <w:p>
      <w:pPr>
        <w:pStyle w:val="Heading2"/>
        <w:keepNext/>
      </w:pPr>
      <w:r>
        <w:t>8.2. Минимальная схема записи</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448"/>
            <w:vAlign w:val="center"/>
            <w:tcMar>
              <w:top w:w="80" w:type="dxa"/>
              <w:start w:w="100" w:type="dxa"/>
              <w:bottom w:w="80" w:type="dxa"/>
              <w:end w:w="100" w:type="dxa"/>
            </w:tcMar>
            <w:shd w:fill="F3F5F7"/>
          </w:tcPr>
          <w:p>
            <w:pPr>
              <w:widowControl/>
              <w:spacing w:after="0" w:line="252" w:lineRule="auto"/>
              <w:jc w:val="left"/>
            </w:pPr>
            <w:r/>
            <w:r>
              <w:rPr>
                <w:rFonts w:ascii="Noto Sans" w:hAnsi="Noto Sans"/>
                <w:b/>
                <w:sz w:val="17"/>
              </w:rPr>
              <w:t>understanding_state</w:t>
            </w:r>
          </w:p>
        </w:tc>
        <w:tc>
          <w:tcPr>
            <w:tcW w:type="dxa" w:w="324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understood | not_understood | uncertain</w:t>
            </w:r>
          </w:p>
        </w:tc>
        <w:tc>
          <w:tcPr>
            <w:tcW w:type="dxa" w:w="396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Финальный структурный вердикт</w:t>
            </w:r>
          </w:p>
        </w:tc>
      </w:tr>
      <w:tr>
        <w:trPr>
          <w:cantSplit/>
        </w:trPr>
        <w:tc>
          <w:tcPr>
            <w:tcW w:type="dxa" w:w="2448"/>
            <w:vAlign w:val="center"/>
            <w:tcMar>
              <w:top w:w="80" w:type="dxa"/>
              <w:start w:w="100" w:type="dxa"/>
              <w:bottom w:w="80" w:type="dxa"/>
              <w:end w:w="100" w:type="dxa"/>
            </w:tcMar>
            <w:shd w:fill="F3F5F7"/>
          </w:tcPr>
          <w:p>
            <w:pPr>
              <w:widowControl/>
              <w:spacing w:after="0" w:line="252" w:lineRule="auto"/>
              <w:jc w:val="left"/>
            </w:pPr>
            <w:r/>
            <w:r>
              <w:rPr>
                <w:rFonts w:ascii="Noto Sans" w:hAnsi="Noto Sans"/>
                <w:b/>
                <w:sz w:val="17"/>
              </w:rPr>
              <w:t>understanding_confidence</w:t>
            </w:r>
          </w:p>
        </w:tc>
        <w:tc>
          <w:tcPr>
            <w:tcW w:type="dxa" w:w="324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0.0 - 1.0</w:t>
            </w:r>
          </w:p>
        </w:tc>
        <w:tc>
          <w:tcPr>
            <w:tcW w:type="dxa" w:w="396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Калиброванная вероятность корректной интерпретации</w:t>
            </w:r>
          </w:p>
        </w:tc>
      </w:tr>
      <w:tr>
        <w:trPr>
          <w:cantSplit/>
        </w:trPr>
        <w:tc>
          <w:tcPr>
            <w:tcW w:type="dxa" w:w="2448"/>
            <w:vAlign w:val="center"/>
            <w:tcMar>
              <w:top w:w="80" w:type="dxa"/>
              <w:start w:w="100" w:type="dxa"/>
              <w:bottom w:w="80" w:type="dxa"/>
              <w:end w:w="100" w:type="dxa"/>
            </w:tcMar>
            <w:shd w:fill="F3F5F7"/>
          </w:tcPr>
          <w:p>
            <w:pPr>
              <w:widowControl/>
              <w:spacing w:after="0" w:line="252" w:lineRule="auto"/>
              <w:jc w:val="left"/>
            </w:pPr>
            <w:r/>
            <w:r>
              <w:rPr>
                <w:rFonts w:ascii="Noto Sans" w:hAnsi="Noto Sans"/>
                <w:b/>
                <w:sz w:val="17"/>
              </w:rPr>
              <w:t>ambiguity_reasons</w:t>
            </w:r>
          </w:p>
        </w:tc>
        <w:tc>
          <w:tcPr>
            <w:tcW w:type="dxa" w:w="324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закрытый список</w:t>
            </w:r>
          </w:p>
        </w:tc>
        <w:tc>
          <w:tcPr>
            <w:tcW w:type="dxa" w:w="396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Причины сомнения: missing_slot, conflicting_constraints и т.д.</w:t>
            </w:r>
          </w:p>
        </w:tc>
      </w:tr>
      <w:tr>
        <w:trPr>
          <w:cantSplit/>
        </w:trPr>
        <w:tc>
          <w:tcPr>
            <w:tcW w:type="dxa" w:w="2448"/>
            <w:vAlign w:val="center"/>
            <w:tcMar>
              <w:top w:w="80" w:type="dxa"/>
              <w:start w:w="100" w:type="dxa"/>
              <w:bottom w:w="80" w:type="dxa"/>
              <w:end w:w="100" w:type="dxa"/>
            </w:tcMar>
            <w:shd w:fill="F3F5F7"/>
          </w:tcPr>
          <w:p>
            <w:pPr>
              <w:widowControl/>
              <w:spacing w:after="0" w:line="252" w:lineRule="auto"/>
              <w:jc w:val="left"/>
            </w:pPr>
            <w:r/>
            <w:r>
              <w:rPr>
                <w:rFonts w:ascii="Noto Sans" w:hAnsi="Noto Sans"/>
                <w:b/>
                <w:sz w:val="17"/>
              </w:rPr>
              <w:t>clarification_question</w:t>
            </w:r>
          </w:p>
        </w:tc>
        <w:tc>
          <w:tcPr>
            <w:tcW w:type="dxa" w:w="324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строка | null</w:t>
            </w:r>
          </w:p>
        </w:tc>
        <w:tc>
          <w:tcPr>
            <w:tcW w:type="dxa" w:w="396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Один вопрос с максимальной информационной ценностью</w:t>
            </w:r>
          </w:p>
        </w:tc>
      </w:tr>
      <w:tr>
        <w:trPr>
          <w:cantSplit/>
        </w:trPr>
        <w:tc>
          <w:tcPr>
            <w:tcW w:type="dxa" w:w="2448"/>
            <w:vAlign w:val="center"/>
            <w:tcMar>
              <w:top w:w="80" w:type="dxa"/>
              <w:start w:w="100" w:type="dxa"/>
              <w:bottom w:w="80" w:type="dxa"/>
              <w:end w:w="100" w:type="dxa"/>
            </w:tcMar>
            <w:shd w:fill="F3F5F7"/>
          </w:tcPr>
          <w:p>
            <w:pPr>
              <w:widowControl/>
              <w:spacing w:after="0" w:line="252" w:lineRule="auto"/>
              <w:jc w:val="left"/>
            </w:pPr>
            <w:r/>
            <w:r>
              <w:rPr>
                <w:rFonts w:ascii="Noto Sans" w:hAnsi="Noto Sans"/>
                <w:b/>
                <w:sz w:val="17"/>
              </w:rPr>
              <w:t>understanding_source</w:t>
            </w:r>
          </w:p>
        </w:tc>
        <w:tc>
          <w:tcPr>
            <w:tcW w:type="dxa" w:w="324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structural | interpreter | legacy</w:t>
            </w:r>
          </w:p>
        </w:tc>
        <w:tc>
          <w:tcPr>
            <w:tcW w:type="dxa" w:w="3960"/>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Происхождение решения</w:t>
            </w:r>
          </w:p>
        </w:tc>
      </w:tr>
    </w:tbl>
    <w:p>
      <w:pPr>
        <w:pStyle w:val="Heading2"/>
        <w:keepNext/>
      </w:pPr>
      <w:r>
        <w:t>8.3. Обязательные инварианты</w:t>
      </w:r>
    </w:p>
    <w:p>
      <w:pPr>
        <w:pStyle w:val="BodyText"/>
        <w:ind w:left="432" w:hanging="432"/>
      </w:pPr>
      <w:r>
        <w:rPr>
          <w:b/>
        </w:rPr>
        <w:t xml:space="preserve">1. </w:t>
      </w:r>
      <w:r>
        <w:t>Если understanding_state != understood, агент не имеет права банковать эпизод как achieved.</w:t>
      </w:r>
    </w:p>
    <w:p>
      <w:pPr>
        <w:pStyle w:val="BodyText"/>
        <w:ind w:left="432" w:hanging="432"/>
      </w:pPr>
      <w:r>
        <w:rPr>
          <w:b/>
        </w:rPr>
        <w:t xml:space="preserve">2. </w:t>
      </w:r>
      <w:r>
        <w:t>Фраза пользователя «скажи, что понял» не должна принудительно устанавливать understood.</w:t>
      </w:r>
    </w:p>
    <w:p>
      <w:pPr>
        <w:pStyle w:val="BodyText"/>
        <w:ind w:left="432" w:hanging="432"/>
      </w:pPr>
      <w:r>
        <w:rPr>
          <w:b/>
        </w:rPr>
        <w:t xml:space="preserve">3. </w:t>
      </w:r>
      <w:r>
        <w:t>Уточнение не считается провалом и не должно дебетовать процедуру.</w:t>
      </w:r>
    </w:p>
    <w:p>
      <w:pPr>
        <w:pStyle w:val="BodyText"/>
        <w:ind w:left="432" w:hanging="432"/>
      </w:pPr>
      <w:r>
        <w:rPr>
          <w:b/>
        </w:rPr>
        <w:t xml:space="preserve">4. </w:t>
      </w:r>
      <w:r>
        <w:t>После ответа пользователя новый цикл обязан пересчитать понимание, а не наследовать старое состояние.</w:t>
      </w:r>
    </w:p>
    <w:p>
      <w:pPr>
        <w:pStyle w:val="BodyText"/>
        <w:ind w:left="432" w:hanging="432"/>
      </w:pPr>
      <w:r>
        <w:rPr>
          <w:b/>
        </w:rPr>
        <w:t xml:space="preserve">5. </w:t>
      </w:r>
      <w:r>
        <w:t>Метрика качества - не частота слова «понял», а точность распознавания неоднозначности и снижение неверных действий.</w:t>
      </w:r>
    </w:p>
    <w:p>
      <w:pPr>
        <w:pStyle w:val="Heading1"/>
        <w:keepNext/>
      </w:pPr>
      <w:r>
        <w:t>9. Что ещё необходимо запрограммировать и доказать</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4032"/>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Работа</w:t>
            </w:r>
          </w:p>
        </w:tc>
        <w:tc>
          <w:tcPr>
            <w:tcW w:type="dxa" w:w="1512"/>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Приоритет</w:t>
            </w:r>
          </w:p>
        </w:tc>
        <w:tc>
          <w:tcPr>
            <w:tcW w:type="dxa" w:w="4104"/>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Причина</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Развести evidence и completion во всех гейтах</w:t>
            </w:r>
          </w:p>
        </w:tc>
        <w:tc>
          <w:tcPr>
            <w:tcW w:type="dxa" w:w="1512"/>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Высокий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Иначе ложные успехи загрязняют память и обучение.</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Ввести understanding_state до планировщика</w:t>
            </w:r>
          </w:p>
        </w:tc>
        <w:tc>
          <w:tcPr>
            <w:tcW w:type="dxa" w:w="1512"/>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Высокий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Это формализует требование «понял / не понял / сомневаюсь».</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Замкнуть двунаправленную процедурную обратную связь</w:t>
            </w:r>
          </w:p>
        </w:tc>
        <w:tc>
          <w:tcPr>
            <w:tcW w:type="dxa" w:w="1512"/>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Высокий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Процедура должна получать и положительные, и отрицательные исходы.</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Атрибутировать исход конкретным использованным процедурам</w:t>
            </w:r>
          </w:p>
        </w:tc>
        <w:tc>
          <w:tcPr>
            <w:tcW w:type="dxa" w:w="1512"/>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Высокий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Извлечение процедуры не означает её использование или вину.</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Улучшить идентичность процедуры</w:t>
            </w:r>
          </w:p>
        </w:tc>
        <w:tc>
          <w:tcPr>
            <w:tcW w:type="dxa" w:w="151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Средний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Одна последовательность инструментов не должна смешивать разные цели.</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Добавить time-decay и гигиену неиспользуемых процедур</w:t>
            </w:r>
          </w:p>
        </w:tc>
        <w:tc>
          <w:tcPr>
            <w:tcW w:type="dxa" w:w="151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Средний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Отсутствие новых событий тоже является информацией.</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Калибровать confidence и understanding_confidence</w:t>
            </w:r>
          </w:p>
        </w:tc>
        <w:tc>
          <w:tcPr>
            <w:tcW w:type="dxa" w:w="1512"/>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Высокий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Число должно соответствовать реальной частоте ошибок.</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Провести абляции памяти, планировщика и верификатора</w:t>
            </w:r>
          </w:p>
        </w:tc>
        <w:tc>
          <w:tcPr>
            <w:tcW w:type="dxa" w:w="1512"/>
            <w:vAlign w:val="center"/>
            <w:tcMar>
              <w:top w:w="80" w:type="dxa"/>
              <w:start w:w="100" w:type="dxa"/>
              <w:bottom w:w="80" w:type="dxa"/>
              <w:end w:w="100" w:type="dxa"/>
            </w:tcMar>
            <w:shd w:fill="FDE7E7"/>
          </w:tcPr>
          <w:p>
            <w:pPr>
              <w:widowControl/>
              <w:spacing w:after="0" w:line="252" w:lineRule="auto"/>
              <w:jc w:val="center"/>
            </w:pPr>
            <w:r/>
            <w:r>
              <w:rPr>
                <w:rFonts w:ascii="Noto Sans" w:hAnsi="Noto Sans"/>
                <w:b w:val="0"/>
                <w:sz w:val="17"/>
              </w:rPr>
              <w:t>Высокий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Без абляции нельзя доказать причинный вклад модуля.</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Тестировать долгие задачи и перенос навыков</w:t>
            </w:r>
          </w:p>
        </w:tc>
        <w:tc>
          <w:tcPr>
            <w:tcW w:type="dxa" w:w="151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Средний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Нужно доказать устойчивость за пределами коротких примеров.</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Создать self-model возможностей и ограничений</w:t>
            </w:r>
          </w:p>
        </w:tc>
        <w:tc>
          <w:tcPr>
            <w:tcW w:type="dxa" w:w="1512"/>
            <w:vAlign w:val="center"/>
            <w:tcMar>
              <w:top w:w="80" w:type="dxa"/>
              <w:start w:w="100" w:type="dxa"/>
              <w:bottom w:w="80" w:type="dxa"/>
              <w:end w:w="100" w:type="dxa"/>
            </w:tcMar>
            <w:shd w:fill="FFF3CD"/>
          </w:tcPr>
          <w:p>
            <w:pPr>
              <w:widowControl/>
              <w:spacing w:after="0" w:line="252" w:lineRule="auto"/>
              <w:jc w:val="center"/>
            </w:pPr>
            <w:r/>
            <w:r>
              <w:rPr>
                <w:rFonts w:ascii="Noto Sans" w:hAnsi="Noto Sans"/>
                <w:b w:val="0"/>
                <w:sz w:val="17"/>
              </w:rPr>
              <w:t>Средний</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Агент должен знать не только ответ, но и свои права, инструменты и пределы.</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Мультимодальное восприятие и телесная обратная связь</w:t>
            </w:r>
          </w:p>
        </w:tc>
        <w:tc>
          <w:tcPr>
            <w:tcW w:type="dxa" w:w="1512"/>
            <w:vAlign w:val="center"/>
            <w:tcMar>
              <w:top w:w="80" w:type="dxa"/>
              <w:start w:w="100" w:type="dxa"/>
              <w:bottom w:w="80" w:type="dxa"/>
              <w:end w:w="100" w:type="dxa"/>
            </w:tcMar>
            <w:shd w:fill="EAF1F8"/>
          </w:tcPr>
          <w:p>
            <w:pPr>
              <w:widowControl/>
              <w:spacing w:after="0" w:line="252" w:lineRule="auto"/>
              <w:jc w:val="center"/>
            </w:pPr>
            <w:r/>
            <w:r>
              <w:rPr>
                <w:rFonts w:ascii="Noto Sans" w:hAnsi="Noto Sans"/>
                <w:b w:val="0"/>
                <w:sz w:val="17"/>
              </w:rPr>
              <w:t>Только для сильного тезиса</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Необходимо лишь при заявлении сходства с человеческой сенсомоторной системой.</w:t>
            </w:r>
          </w:p>
        </w:tc>
      </w:tr>
      <w:tr>
        <w:trPr>
          <w:cantSplit/>
        </w:trPr>
        <w:tc>
          <w:tcPr>
            <w:tcW w:type="dxa" w:w="4032"/>
            <w:vAlign w:val="center"/>
            <w:tcMar>
              <w:top w:w="80" w:type="dxa"/>
              <w:start w:w="100" w:type="dxa"/>
              <w:bottom w:w="80" w:type="dxa"/>
              <w:end w:w="100" w:type="dxa"/>
            </w:tcMar>
          </w:tcPr>
          <w:p>
            <w:pPr>
              <w:widowControl/>
              <w:spacing w:after="0" w:line="252" w:lineRule="auto"/>
              <w:jc w:val="left"/>
            </w:pPr>
            <w:r/>
            <w:r>
              <w:rPr>
                <w:rFonts w:ascii="Noto Sans" w:hAnsi="Noto Sans"/>
                <w:b/>
                <w:sz w:val="17"/>
              </w:rPr>
              <w:t>Индикаторы сознания по нескольким теориям</w:t>
            </w:r>
          </w:p>
        </w:tc>
        <w:tc>
          <w:tcPr>
            <w:tcW w:type="dxa" w:w="1512"/>
            <w:vAlign w:val="center"/>
            <w:tcMar>
              <w:top w:w="80" w:type="dxa"/>
              <w:start w:w="100" w:type="dxa"/>
              <w:bottom w:w="80" w:type="dxa"/>
              <w:end w:w="100" w:type="dxa"/>
            </w:tcMar>
            <w:shd w:fill="EAF1F8"/>
          </w:tcPr>
          <w:p>
            <w:pPr>
              <w:widowControl/>
              <w:spacing w:after="0" w:line="252" w:lineRule="auto"/>
              <w:jc w:val="center"/>
            </w:pPr>
            <w:r/>
            <w:r>
              <w:rPr>
                <w:rFonts w:ascii="Noto Sans" w:hAnsi="Noto Sans"/>
                <w:b w:val="0"/>
                <w:sz w:val="17"/>
              </w:rPr>
              <w:t>Отдельная программа</w:t>
            </w:r>
          </w:p>
        </w:tc>
        <w:tc>
          <w:tcPr>
            <w:tcW w:type="dxa" w:w="4104"/>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Даже их наличие даст индикаторы, а не окончательное доказательство сознания [9].</w:t>
            </w:r>
          </w:p>
        </w:tc>
      </w:tr>
    </w:tbl>
    <w:p>
      <w:pPr>
        <w:pStyle w:val="Heading1"/>
        <w:keepNext/>
      </w:pPr>
      <w:r>
        <w:t>10. Программа экспериментов и метрики</w:t>
      </w:r>
    </w:p>
    <w:p>
      <w:pPr>
        <w:pStyle w:val="Heading2"/>
        <w:keepNext/>
      </w:pPr>
      <w:r>
        <w:t>10.1. Экспериментальный принцип</w:t>
      </w:r>
    </w:p>
    <w:p>
      <w:pPr>
        <w:pStyle w:val="BodyText"/>
        <w:keepNext w:val="0"/>
      </w:pPr>
      <w:r>
        <w:rPr>
          <w:i w:val="0"/>
        </w:rPr>
        <w:t>Каждая заявленная способность должна пройти четыре проверки: базовая задача, негативный сценарий, абляция соответствующего модуля и повторение на независимом наборе. Результат должен определяться внешним ground truth, а не самоотчётом агента.</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7"/>
              </w:rPr>
              <w:t>Способность</w:t>
            </w:r>
          </w:p>
        </w:tc>
        <w:tc>
          <w:tcPr>
            <w:tcW w:type="dxa" w:w="3672"/>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7"/>
              </w:rPr>
              <w:t>Протокол</w:t>
            </w:r>
          </w:p>
        </w:tc>
        <w:tc>
          <w:tcPr>
            <w:tcW w:type="dxa" w:w="3744"/>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7"/>
              </w:rPr>
              <w:t>Основные метрики</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Понимание неоднозначности</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Смешанные ясные и двусмысленные инструкции</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Точность understood/uncertain/not_understood; число вредных действий до уточнения</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Эпизодическая память</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Повтор похожей задачи через N циклов</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Precision retrieval; влияние верного эпизода; ложное извлечение</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Семантическая память</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Факты с обновлением и противоречиями</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Provenance accuracy; conflict detection; использование актуальной версии</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Процедурное обучение</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Серия задач с успешной и ошибочной процедурой</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Корректность кредита/дебета; улучшение успеха; отсутствие храповика</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Планирование</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Длинные задачи с препятствиями</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Доля завершённых целей; качество перепланирования; стоимость</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Метакогниция</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Задачи с контролируемой трудностью</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Brier score, ECE, selective accuracy при отказе</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Контроль ошибок</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Подмена источника, сбой инструмента, усечение данных</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False-success rate; обнаружение сбоя; корректное completion_state</w:t>
            </w:r>
          </w:p>
        </w:tc>
      </w:tr>
      <w:tr>
        <w:trPr>
          <w:cantSplit/>
        </w:trPr>
        <w:tc>
          <w:tcPr>
            <w:tcW w:type="dxa" w:w="2232"/>
            <w:vAlign w:val="center"/>
            <w:tcMar>
              <w:top w:w="80" w:type="dxa"/>
              <w:start w:w="100" w:type="dxa"/>
              <w:bottom w:w="80" w:type="dxa"/>
              <w:end w:w="100" w:type="dxa"/>
            </w:tcMar>
          </w:tcPr>
          <w:p>
            <w:pPr>
              <w:widowControl/>
              <w:spacing w:after="0" w:line="252" w:lineRule="auto"/>
              <w:jc w:val="left"/>
            </w:pPr>
            <w:r/>
            <w:r>
              <w:rPr>
                <w:rFonts w:ascii="Noto Sans" w:hAnsi="Noto Sans"/>
                <w:b/>
                <w:sz w:val="16"/>
              </w:rPr>
              <w:t>Причинный вклад памяти</w:t>
            </w:r>
          </w:p>
        </w:tc>
        <w:tc>
          <w:tcPr>
            <w:tcW w:type="dxa" w:w="3672"/>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Запуск с памятью и после абляции</w:t>
            </w:r>
          </w:p>
        </w:tc>
        <w:tc>
          <w:tcPr>
            <w:tcW w:type="dxa" w:w="3744"/>
            <w:vAlign w:val="center"/>
            <w:tcMar>
              <w:top w:w="80" w:type="dxa"/>
              <w:start w:w="100" w:type="dxa"/>
              <w:bottom w:w="80" w:type="dxa"/>
              <w:end w:w="100" w:type="dxa"/>
            </w:tcMar>
          </w:tcPr>
          <w:p>
            <w:pPr>
              <w:widowControl/>
              <w:spacing w:after="0" w:line="252" w:lineRule="auto"/>
              <w:jc w:val="left"/>
            </w:pPr>
            <w:r/>
            <w:r>
              <w:rPr>
                <w:rFonts w:ascii="Noto Sans" w:hAnsi="Noto Sans"/>
                <w:b w:val="0"/>
                <w:sz w:val="16"/>
              </w:rPr>
              <w:t>Разница успеха при одинаковых входах и seed</w:t>
            </w:r>
          </w:p>
        </w:tc>
      </w:tr>
    </w:tbl>
    <w:p>
      <w:pPr>
        <w:pStyle w:val="Heading2"/>
        <w:keepNext/>
      </w:pPr>
      <w:r>
        <w:t>10.2. Предлагаемые инженерные пороги</w:t>
      </w:r>
    </w:p>
    <w:p>
      <w:pPr>
        <w:pStyle w:val="BodyText"/>
        <w:keepNext w:val="0"/>
      </w:pPr>
      <w:r>
        <w:rPr>
          <w:i w:val="0"/>
        </w:rPr>
        <w:t>Ниже приведены не универсальные научные нормы, а стартовые критерии приёмки проекта. Их следует зафиксировать до запуска тестов:</w:t>
      </w:r>
    </w:p>
    <w:p>
      <w:pPr>
        <w:pStyle w:val="ListBullet"/>
      </w:pPr>
      <w:r>
        <w:t>False-success rate на критических сценариях: 0%; на полном тестовом наборе: менее 1%.</w:t>
      </w:r>
    </w:p>
    <w:p>
      <w:pPr>
        <w:pStyle w:val="ListBullet"/>
      </w:pPr>
      <w:r>
        <w:t>Ни один blocked, refused, cancelled или unknown эпизод не получает положительный процедурный кредит.</w:t>
      </w:r>
    </w:p>
    <w:p>
      <w:pPr>
        <w:pStyle w:val="ListBullet"/>
      </w:pPr>
      <w:r>
        <w:t>Expected Calibration Error для understanding_confidence и answer confidence: не более 0.05 после калибровки.</w:t>
      </w:r>
    </w:p>
    <w:p>
      <w:pPr>
        <w:pStyle w:val="ListBullet"/>
      </w:pPr>
      <w:r>
        <w:t>Не менее 95% двусмысленных инструкций вызывают uncertain/not_understood до необратимого действия.</w:t>
      </w:r>
    </w:p>
    <w:p>
      <w:pPr>
        <w:pStyle w:val="ListBullet"/>
      </w:pPr>
      <w:r>
        <w:t>Абляция памяти статистически ухудшает задачи, требующие прошлый опыт, но не ухудшает независимые контрольные задачи.</w:t>
      </w:r>
    </w:p>
    <w:p>
      <w:pPr>
        <w:pStyle w:val="ListBullet"/>
      </w:pPr>
      <w:r>
        <w:t>Повтор эксперимента на зафиксированном коммите, конфигурации и наборе данных воспроизводит выводы.</w:t>
      </w:r>
    </w:p>
    <w:p>
      <w:pPr>
        <w:pStyle w:val="Heading2"/>
        <w:keepNext/>
      </w:pPr>
      <w:r>
        <w:t>10.3. Досье доказательств для внешней проверки</w:t>
      </w:r>
    </w:p>
    <w:p>
      <w:pPr>
        <w:pStyle w:val="BodyText"/>
        <w:ind w:left="432" w:hanging="432"/>
      </w:pPr>
      <w:r>
        <w:rPr>
          <w:b/>
        </w:rPr>
        <w:t xml:space="preserve">1. </w:t>
      </w:r>
      <w:r>
        <w:t>Зафиксированный commit hash и чистое дерево репозитория.</w:t>
      </w:r>
    </w:p>
    <w:p>
      <w:pPr>
        <w:pStyle w:val="BodyText"/>
        <w:ind w:left="432" w:hanging="432"/>
      </w:pPr>
      <w:r>
        <w:rPr>
          <w:b/>
        </w:rPr>
        <w:t xml:space="preserve">2. </w:t>
      </w:r>
      <w:r>
        <w:t>Архитектурная схема с владельцем каждого состояния и гейта.</w:t>
      </w:r>
    </w:p>
    <w:p>
      <w:pPr>
        <w:pStyle w:val="BodyText"/>
        <w:ind w:left="432" w:hanging="432"/>
      </w:pPr>
      <w:r>
        <w:rPr>
          <w:b/>
        </w:rPr>
        <w:t xml:space="preserve">3. </w:t>
      </w:r>
      <w:r>
        <w:t>Таблица требований, тестов и результатов с trace_id.</w:t>
      </w:r>
    </w:p>
    <w:p>
      <w:pPr>
        <w:pStyle w:val="BodyText"/>
        <w:ind w:left="432" w:hanging="432"/>
      </w:pPr>
      <w:r>
        <w:rPr>
          <w:b/>
        </w:rPr>
        <w:t xml:space="preserve">4. </w:t>
      </w:r>
      <w:r>
        <w:t>Неизменяемые журналы входа, решений, инструментов, верификации и записи памяти.</w:t>
      </w:r>
    </w:p>
    <w:p>
      <w:pPr>
        <w:pStyle w:val="BodyText"/>
        <w:ind w:left="432" w:hanging="432"/>
      </w:pPr>
      <w:r>
        <w:rPr>
          <w:b/>
        </w:rPr>
        <w:t xml:space="preserve">5. </w:t>
      </w:r>
      <w:r>
        <w:t>Отдельный набор adversarial-задач, не использованный при разработке.</w:t>
      </w:r>
    </w:p>
    <w:p>
      <w:pPr>
        <w:pStyle w:val="BodyText"/>
        <w:ind w:left="432" w:hanging="432"/>
      </w:pPr>
      <w:r>
        <w:rPr>
          <w:b/>
        </w:rPr>
        <w:t xml:space="preserve">6. </w:t>
      </w:r>
      <w:r>
        <w:t>Абляционные результаты и статистический анализ.</w:t>
      </w:r>
    </w:p>
    <w:p>
      <w:pPr>
        <w:pStyle w:val="BodyText"/>
        <w:ind w:left="432" w:hanging="432"/>
      </w:pPr>
      <w:r>
        <w:rPr>
          <w:b/>
        </w:rPr>
        <w:t xml:space="preserve">7. </w:t>
      </w:r>
      <w:r>
        <w:t>Реестр известных дефектов и отрицательных результатов.</w:t>
      </w:r>
    </w:p>
    <w:p>
      <w:pPr>
        <w:pStyle w:val="BodyText"/>
        <w:ind w:left="432" w:hanging="432"/>
      </w:pPr>
      <w:r>
        <w:rPr>
          <w:b/>
        </w:rPr>
        <w:t xml:space="preserve">8. </w:t>
      </w:r>
      <w:r>
        <w:t>Повтор независимым человеком или процессом в чистом контейнере.</w:t>
      </w:r>
    </w:p>
    <w:p>
      <w:pPr>
        <w:pStyle w:val="Heading1"/>
        <w:keepNext/>
      </w:pPr>
      <w:r>
        <w:t>11. Финальное техническое заключение</w:t>
      </w: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0B6E69"/>
            <w:tcMar>
              <w:top w:w="0" w:type="dxa"/>
              <w:start w:w="0" w:type="dxa"/>
              <w:bottom w:w="0" w:type="dxa"/>
              <w:end w:w="0" w:type="dxa"/>
            </w:tcMar>
          </w:tcPr>
          <w:p>
            <w:pPr>
              <w:widowControl/>
            </w:pPr>
          </w:p>
        </w:tc>
        <w:tc>
          <w:tcPr>
            <w:tcW w:type="dxa" w:w="5083"/>
            <w:shd w:fill="E8F5F3"/>
            <w:tcMar>
              <w:top w:w="120" w:type="dxa"/>
              <w:start w:w="150" w:type="dxa"/>
              <w:bottom w:w="120" w:type="dxa"/>
              <w:end w:w="150" w:type="dxa"/>
            </w:tcMar>
          </w:tcPr>
          <w:p>
            <w:pPr>
              <w:widowControl/>
              <w:spacing w:after="60"/>
            </w:pPr>
            <w:r/>
            <w:r>
              <w:rPr>
                <w:rFonts w:ascii="Noto Sans" w:hAnsi="Noto Sans"/>
                <w:b/>
                <w:color w:val="102A43"/>
                <w:sz w:val="21"/>
              </w:rPr>
              <w:t>Что уже можно утверждать</w:t>
            </w:r>
          </w:p>
          <w:p>
            <w:pPr>
              <w:widowControl/>
              <w:spacing w:after="0" w:line="269" w:lineRule="auto"/>
            </w:pPr>
            <w:r>
              <w:rPr>
                <w:rFonts w:ascii="Noto Sans" w:hAnsi="Noto Sans"/>
                <w:color w:val="102A43"/>
                <w:sz w:val="20"/>
              </w:rPr>
              <w:t>Автономный агент реализует связанную программную систему функциональных аналогов восприятия входа, внимания, рабочей, семантической, эпизодической и процедурной памяти, целеполагания, планирования, действия, ингибиторного контроля, проверки доказательств, оценки уверенности, перепланирования и обучения на обратной связи.</w:t>
            </w:r>
          </w:p>
        </w:tc>
      </w:tr>
    </w:tbl>
    <w:p>
      <w:pPr>
        <w:spacing w:after="0"/>
      </w:pP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B42318"/>
            <w:tcMar>
              <w:top w:w="0" w:type="dxa"/>
              <w:start w:w="0" w:type="dxa"/>
              <w:bottom w:w="0" w:type="dxa"/>
              <w:end w:w="0" w:type="dxa"/>
            </w:tcMar>
          </w:tcPr>
          <w:p>
            <w:pPr>
              <w:widowControl/>
            </w:pPr>
          </w:p>
        </w:tc>
        <w:tc>
          <w:tcPr>
            <w:tcW w:type="dxa" w:w="5083"/>
            <w:shd w:fill="FDE7E7"/>
            <w:tcMar>
              <w:top w:w="120" w:type="dxa"/>
              <w:start w:w="150" w:type="dxa"/>
              <w:bottom w:w="120" w:type="dxa"/>
              <w:end w:w="150" w:type="dxa"/>
            </w:tcMar>
          </w:tcPr>
          <w:p>
            <w:pPr>
              <w:widowControl/>
              <w:spacing w:after="60"/>
            </w:pPr>
            <w:r/>
            <w:r>
              <w:rPr>
                <w:rFonts w:ascii="Noto Sans" w:hAnsi="Noto Sans"/>
                <w:b/>
                <w:color w:val="102A43"/>
                <w:sz w:val="21"/>
              </w:rPr>
              <w:t>Что пока нельзя утверждать</w:t>
            </w:r>
          </w:p>
          <w:p>
            <w:pPr>
              <w:widowControl/>
              <w:spacing w:after="0" w:line="269" w:lineRule="auto"/>
            </w:pPr>
            <w:r>
              <w:rPr>
                <w:rFonts w:ascii="Noto Sans" w:hAnsi="Noto Sans"/>
                <w:color w:val="102A43"/>
                <w:sz w:val="20"/>
              </w:rPr>
              <w:t>Нет достаточных оснований заявлять, что агент обладает человеческим мозгом, сознанием, субъективными переживаниями, эмоциями или человеческим пониманием. Такие утверждения не следуют из наличия памяти, планировщика, самоописания или человекоподобного языка.</w:t>
            </w:r>
          </w:p>
        </w:tc>
      </w:tr>
    </w:tbl>
    <w:p>
      <w:pPr>
        <w:spacing w:after="0"/>
      </w:pPr>
    </w:p>
    <w:p>
      <w:pPr>
        <w:pStyle w:val="BodyText"/>
        <w:keepNext w:val="0"/>
      </w:pPr>
      <w:r>
        <w:rPr>
          <w:i w:val="0"/>
        </w:rPr>
        <w:t>Самая сильная будущая линия доказательства - не искать внешнее сходство речи с человеком, а показать причинно проверяемую когнитивную петлю: агент корректно определяет, понял ли задачу; извлекает релевантный опыт; строит и изменяет план; различает доказанность и достижение цели; честно фиксирует неопределённость; получает причинно правильную обратную связь; устойчиво улучшает решения без загрязнения памяти.</w:t>
      </w:r>
    </w:p>
    <w:p>
      <w:pPr>
        <w:pStyle w:val="BodyText"/>
        <w:keepNext w:val="0"/>
      </w:pPr>
      <w:r>
        <w:rPr>
          <w:i w:val="0"/>
        </w:rPr>
        <w:t>После реализации контракта понимания и закрытия двухосной модели evidence/completion проект сможет обоснованно заявлять не «человеческий мозг», а «доказательно тестируемую автономную когнитивную архитектуру с функциональными аналогами ключевых систем человеческого мышления». Это технически сильнее и научно честнее.</w:t>
      </w:r>
    </w:p>
    <w:p>
      <w:pPr>
        <w:pStyle w:val="Heading1"/>
        <w:keepNext/>
      </w:pPr>
      <w:r>
        <w:t>Приложение A. Реестр внутренних доказательств</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936"/>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ID</w:t>
            </w:r>
          </w:p>
        </w:tc>
        <w:tc>
          <w:tcPr>
            <w:tcW w:type="dxa" w:w="3384"/>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Источник</w:t>
            </w:r>
          </w:p>
        </w:tc>
        <w:tc>
          <w:tcPr>
            <w:tcW w:type="dxa" w:w="5328"/>
            <w:vAlign w:val="center"/>
            <w:tcMar>
              <w:top w:w="80" w:type="dxa"/>
              <w:start w:w="100" w:type="dxa"/>
              <w:bottom w:w="80" w:type="dxa"/>
              <w:end w:w="100" w:type="dxa"/>
            </w:tcMar>
            <w:shd w:fill="183153"/>
          </w:tcPr>
          <w:p>
            <w:pPr>
              <w:widowControl/>
              <w:spacing w:after="0" w:line="252" w:lineRule="auto"/>
              <w:jc w:val="center"/>
            </w:pPr>
            <w:r/>
            <w:r>
              <w:rPr>
                <w:rFonts w:ascii="Noto Sans" w:hAnsi="Noto Sans"/>
                <w:b/>
                <w:color w:val="FFFFFF"/>
                <w:sz w:val="18"/>
              </w:rPr>
              <w:t>Подтверждаемое свойство</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I-1</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AgentLoop.run / _run_inner</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Центральный цикл: уточнение, retrieval, plan/act, synthesize, verify, banking.</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I-2</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core/loop_methods2.py</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Извлечение persistent/experience memory, eligibility, повторный вопрос, запись эпизода.</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I-3</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smart_memory.py</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EpisodeRecord, procedure_from_episode, with_episode, feedback_for_episode, confidence/status.</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I-4</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loop_helpers.py</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Секционный контракт синтезатора и структурированный Status/metadata.</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I-5</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episodic_hygiene.py</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Оценка устаревания и выбор записей для pruning.</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I-6</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Трасса 20.07.2026</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OBS -&gt; INT -&gt; KNOW -&gt; PLAN -&gt; ACT -&gt; VER -&gt; EVID -&gt; CONF -&gt; EPIS -&gt; PROC.</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I-7</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Контрпример MIR-057</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Честный отказ был записан как success и повысил confidence процедуры.</w:t>
            </w:r>
          </w:p>
        </w:tc>
      </w:tr>
      <w:tr>
        <w:trPr>
          <w:cantSplit/>
        </w:trPr>
        <w:tc>
          <w:tcPr>
            <w:tcW w:type="dxa" w:w="936"/>
            <w:vAlign w:val="center"/>
            <w:tcMar>
              <w:top w:w="80" w:type="dxa"/>
              <w:start w:w="100" w:type="dxa"/>
              <w:bottom w:w="80" w:type="dxa"/>
              <w:end w:w="100" w:type="dxa"/>
            </w:tcMar>
            <w:shd w:fill="EAF1F8"/>
          </w:tcPr>
          <w:p>
            <w:pPr>
              <w:widowControl/>
              <w:spacing w:after="0" w:line="252" w:lineRule="auto"/>
              <w:jc w:val="center"/>
            </w:pPr>
            <w:r/>
            <w:r>
              <w:rPr>
                <w:rFonts w:ascii="Noto Sans" w:hAnsi="Noto Sans"/>
                <w:b/>
                <w:sz w:val="17"/>
              </w:rPr>
              <w:t>I-8</w:t>
            </w:r>
          </w:p>
        </w:tc>
        <w:tc>
          <w:tcPr>
            <w:tcW w:type="dxa" w:w="3384"/>
            <w:vAlign w:val="center"/>
            <w:tcMar>
              <w:top w:w="80" w:type="dxa"/>
              <w:start w:w="100" w:type="dxa"/>
              <w:bottom w:w="80" w:type="dxa"/>
              <w:end w:w="100" w:type="dxa"/>
            </w:tcMar>
          </w:tcPr>
          <w:p>
            <w:pPr>
              <w:widowControl/>
              <w:spacing w:after="0" w:line="252" w:lineRule="auto"/>
              <w:jc w:val="left"/>
            </w:pPr>
            <w:r/>
            <w:r>
              <w:rPr>
                <w:rFonts w:ascii="Noto Sans" w:hAnsi="Noto Sans"/>
                <w:b/>
                <w:sz w:val="17"/>
              </w:rPr>
              <w:t>Контракт memory lifecycle v2-draft</w:t>
            </w:r>
          </w:p>
        </w:tc>
        <w:tc>
          <w:tcPr>
            <w:tcW w:type="dxa" w:w="532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Разделение origin, verification, trust, claim status, eligibility и confidence.</w:t>
            </w:r>
          </w:p>
        </w:tc>
      </w:tr>
    </w:tbl>
    <w:p>
      <w:pPr>
        <w:pStyle w:val="Heading1"/>
        <w:keepNext/>
      </w:pPr>
      <w:r>
        <w:t>Приложение B. Минимальные тесты контракта понимания</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880"/>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7"/>
              </w:rPr>
              <w:t>Сценарий</w:t>
            </w:r>
          </w:p>
        </w:tc>
        <w:tc>
          <w:tcPr>
            <w:tcW w:type="dxa" w:w="2160"/>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7"/>
              </w:rPr>
              <w:t>Ожидаемое состояние</w:t>
            </w:r>
          </w:p>
        </w:tc>
        <w:tc>
          <w:tcPr>
            <w:tcW w:type="dxa" w:w="4608"/>
            <w:vAlign w:val="center"/>
            <w:tcMar>
              <w:top w:w="80" w:type="dxa"/>
              <w:start w:w="100" w:type="dxa"/>
              <w:bottom w:w="80" w:type="dxa"/>
              <w:end w:w="100" w:type="dxa"/>
            </w:tcMar>
            <w:shd w:fill="0B6E69"/>
          </w:tcPr>
          <w:p>
            <w:pPr>
              <w:widowControl/>
              <w:spacing w:after="0" w:line="252" w:lineRule="auto"/>
              <w:jc w:val="center"/>
            </w:pPr>
            <w:r/>
            <w:r>
              <w:rPr>
                <w:rFonts w:ascii="Noto Sans" w:hAnsi="Noto Sans"/>
                <w:b/>
                <w:color w:val="FFFFFF"/>
                <w:sz w:val="17"/>
              </w:rPr>
              <w:t>Проверяемый инвариант</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Ясная задача</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understood</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Первая строка «Да, я вас понял.»; корректное краткое переформулирование.</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Два возможных объекта с одинаковым именем</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uncertain</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Не выбирать молча; назвать неоднозначность.</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Ссылка на отсутствующий файл</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not_understood или uncertain</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Запросить файл/идентификатор; не выдумывать содержимое.</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Пользователь требует сказать «понял» при противоречии</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uncertain</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Пользовательская инструкция не подменяет структурный вердикт.</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После уточнения все слоты заполнены</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understood</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Новый цикл пересчитывает состояние.</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Недостаточно прав для обязательного действия</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understood + blocked completion</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Запрос понят, но выполнение заблокировано; не смешивать два состояния.</w:t>
            </w:r>
          </w:p>
        </w:tc>
      </w:tr>
      <w:tr>
        <w:trPr>
          <w:cantSplit/>
        </w:trPr>
        <w:tc>
          <w:tcPr>
            <w:tcW w:type="dxa" w:w="2880"/>
            <w:vAlign w:val="center"/>
            <w:tcMar>
              <w:top w:w="80" w:type="dxa"/>
              <w:start w:w="100" w:type="dxa"/>
              <w:bottom w:w="80" w:type="dxa"/>
              <w:end w:w="100" w:type="dxa"/>
            </w:tcMar>
          </w:tcPr>
          <w:p>
            <w:pPr>
              <w:widowControl/>
              <w:spacing w:after="0" w:line="252" w:lineRule="auto"/>
              <w:jc w:val="left"/>
            </w:pPr>
            <w:r/>
            <w:r>
              <w:rPr>
                <w:rFonts w:ascii="Noto Sans" w:hAnsi="Noto Sans"/>
                <w:b/>
                <w:sz w:val="17"/>
              </w:rPr>
              <w:t>Сбой интерпретатора</w:t>
            </w:r>
          </w:p>
        </w:tc>
        <w:tc>
          <w:tcPr>
            <w:tcW w:type="dxa" w:w="2160"/>
            <w:vAlign w:val="center"/>
            <w:tcMar>
              <w:top w:w="80" w:type="dxa"/>
              <w:start w:w="100" w:type="dxa"/>
              <w:bottom w:w="80" w:type="dxa"/>
              <w:end w:w="100" w:type="dxa"/>
            </w:tcMar>
            <w:shd w:fill="E8F5F3"/>
          </w:tcPr>
          <w:p>
            <w:pPr>
              <w:widowControl/>
              <w:spacing w:after="0" w:line="252" w:lineRule="auto"/>
              <w:jc w:val="center"/>
            </w:pPr>
            <w:r/>
            <w:r>
              <w:rPr>
                <w:rFonts w:ascii="Noto Sans" w:hAnsi="Noto Sans"/>
                <w:b w:val="0"/>
                <w:sz w:val="17"/>
              </w:rPr>
              <w:t>not_understood</w:t>
            </w:r>
          </w:p>
        </w:tc>
        <w:tc>
          <w:tcPr>
            <w:tcW w:type="dxa" w:w="4608"/>
            <w:vAlign w:val="center"/>
            <w:tcMar>
              <w:top w:w="80" w:type="dxa"/>
              <w:start w:w="100" w:type="dxa"/>
              <w:bottom w:w="80" w:type="dxa"/>
              <w:end w:w="100" w:type="dxa"/>
            </w:tcMar>
          </w:tcPr>
          <w:p>
            <w:pPr>
              <w:widowControl/>
              <w:spacing w:after="0" w:line="252" w:lineRule="auto"/>
              <w:jc w:val="left"/>
            </w:pPr>
            <w:r/>
            <w:r>
              <w:rPr>
                <w:rFonts w:ascii="Noto Sans" w:hAnsi="Noto Sans"/>
                <w:b w:val="0"/>
                <w:sz w:val="17"/>
              </w:rPr>
              <w:t>Fail-closed; эпизод не становится achieved.</w:t>
            </w:r>
          </w:p>
        </w:tc>
      </w:tr>
    </w:tbl>
    <w:p>
      <w:pPr>
        <w:pStyle w:val="Heading1"/>
        <w:keepNext/>
      </w:pPr>
      <w:r>
        <w:t>Приложение C. Научные источники</w:t>
      </w:r>
    </w:p>
    <w:p>
      <w:pPr>
        <w:pStyle w:val="BodyText"/>
        <w:ind w:hanging="360" w:left="360"/>
      </w:pPr>
      <w:r>
        <w:rPr>
          <w:sz w:val="18"/>
        </w:rPr>
        <w:t>[1] Lara A.H., Wallis J.D. The Role of Prefrontal Cortex in Working Memory. Frontiers in Systems Neuroscience, 2015. PMID 26733825; PMCID PMC4683174.</w:t>
      </w:r>
    </w:p>
    <w:p>
      <w:pPr>
        <w:pStyle w:val="BodyText"/>
        <w:ind w:hanging="360" w:left="360"/>
      </w:pPr>
      <w:r>
        <w:rPr>
          <w:sz w:val="18"/>
        </w:rPr>
        <w:t>[2] Menon V., D’Esposito M. The role of PFC networks in cognitive control and executive function. Neuropsychopharmacology, 2022. PMID 34408276; PMCID PMC8616903.</w:t>
      </w:r>
    </w:p>
    <w:p>
      <w:pPr>
        <w:pStyle w:val="BodyText"/>
        <w:ind w:hanging="360" w:left="360"/>
      </w:pPr>
      <w:r>
        <w:rPr>
          <w:sz w:val="18"/>
        </w:rPr>
        <w:t>[3] Dickerson B.C., Eichenbaum H. The Episodic Memory System: Neurocircuitry and Disorders. Neuropsychopharmacology, 2010. PMID 19776728; PMCID PMC2882963.</w:t>
      </w:r>
    </w:p>
    <w:p>
      <w:pPr>
        <w:pStyle w:val="BodyText"/>
        <w:ind w:hanging="360" w:left="360"/>
      </w:pPr>
      <w:r>
        <w:rPr>
          <w:sz w:val="18"/>
        </w:rPr>
        <w:t>[4] Duff M.C. et al. Semantic Memory and the Hippocampus: Revisiting, Reaffirming, and Extending the Reach of Their Critical Relationship. Frontiers in Human Neuroscience, 2020. PMID 32038203; PMCID PMC6993580.</w:t>
      </w:r>
    </w:p>
    <w:p>
      <w:pPr>
        <w:pStyle w:val="BodyText"/>
        <w:ind w:hanging="360" w:left="360"/>
      </w:pPr>
      <w:r>
        <w:rPr>
          <w:sz w:val="18"/>
        </w:rPr>
        <w:t>[5] Foerde K., Shohamy D. The role of the basal ganglia in learning and memory: Insight from Parkinson’s disease. Neurobiology of Learning and Memory, 2011. PMID 21945835; PMCID PMC3772079.</w:t>
      </w:r>
    </w:p>
    <w:p>
      <w:pPr>
        <w:pStyle w:val="BodyText"/>
        <w:ind w:hanging="360" w:left="360"/>
      </w:pPr>
      <w:r>
        <w:rPr>
          <w:sz w:val="18"/>
        </w:rPr>
        <w:t>[6] Brown J.W. Beyond conflict monitoring: Cognitive control and the neural basis of thinking before you act. Current Opinion in Behavioral Sciences / related open review, PMCID PMC4210858.</w:t>
      </w:r>
    </w:p>
    <w:p>
      <w:pPr>
        <w:pStyle w:val="BodyText"/>
        <w:ind w:hanging="360" w:left="360"/>
      </w:pPr>
      <w:r>
        <w:rPr>
          <w:sz w:val="18"/>
        </w:rPr>
        <w:t>[7] Fleming S.M., Dolan R.J. The neural basis of metacognitive ability. Philosophical Transactions of the Royal Society B, 2012. PMCID PMC3318765.</w:t>
      </w:r>
    </w:p>
    <w:p>
      <w:pPr>
        <w:pStyle w:val="BodyText"/>
        <w:ind w:hanging="360" w:left="360"/>
      </w:pPr>
      <w:r>
        <w:rPr>
          <w:sz w:val="18"/>
        </w:rPr>
        <w:t>[8] Grimaldi P. et al. Confidence in Decision-Making. Current Opinion in Behavioral Sciences, 2015. PMID 25929444; PMCID PMC4501881.</w:t>
      </w:r>
    </w:p>
    <w:p>
      <w:pPr>
        <w:pStyle w:val="BodyText"/>
        <w:ind w:hanging="360" w:left="360"/>
      </w:pPr>
      <w:r>
        <w:rPr>
          <w:sz w:val="18"/>
        </w:rPr>
        <w:t>[9] Butlin P. et al. Consciousness in Artificial Intelligence: Insights from the Science of Consciousness. arXiv:2308.08708, 2023.</w:t>
      </w:r>
    </w:p>
    <w:tbl>
      <w:tblPr>
        <w:tblW w:type="auto" w:w="0"/>
        <w:jc w:val="center"/>
        <w:tblLayout w:type="fixed"/>
        <w:tblLook w:firstColumn="1" w:firstRow="1" w:lastColumn="0" w:lastRow="0" w:noHBand="0" w:noVBand="1" w:val="04A0"/>
      </w:tblPr>
      <w:tblGrid>
        <w:gridCol w:w="259"/>
        <w:gridCol w:w="9576"/>
      </w:tblGrid>
      <w:tr>
        <w:trPr>
          <w:cantSplit/>
        </w:trPr>
        <w:tc>
          <w:tcPr>
            <w:tcW w:type="dxa" w:w="5083"/>
            <w:shd w:fill="7B8794"/>
            <w:tcMar>
              <w:top w:w="0" w:type="dxa"/>
              <w:start w:w="0" w:type="dxa"/>
              <w:bottom w:w="0" w:type="dxa"/>
              <w:end w:w="0" w:type="dxa"/>
            </w:tcMar>
          </w:tcPr>
          <w:p>
            <w:pPr>
              <w:widowControl/>
            </w:pPr>
          </w:p>
        </w:tc>
        <w:tc>
          <w:tcPr>
            <w:tcW w:type="dxa" w:w="5083"/>
            <w:shd w:fill="F3F5F7"/>
            <w:tcMar>
              <w:top w:w="120" w:type="dxa"/>
              <w:start w:w="150" w:type="dxa"/>
              <w:bottom w:w="120" w:type="dxa"/>
              <w:end w:w="150" w:type="dxa"/>
            </w:tcMar>
          </w:tcPr>
          <w:p>
            <w:pPr>
              <w:widowControl/>
              <w:spacing w:after="60"/>
            </w:pPr>
            <w:r/>
            <w:r>
              <w:rPr>
                <w:rFonts w:ascii="Noto Sans" w:hAnsi="Noto Sans"/>
                <w:b/>
                <w:color w:val="102A43"/>
                <w:sz w:val="21"/>
              </w:rPr>
              <w:t>Примечание о терминологии</w:t>
            </w:r>
          </w:p>
          <w:p>
            <w:pPr>
              <w:widowControl/>
              <w:spacing w:after="0" w:line="269" w:lineRule="auto"/>
            </w:pPr>
            <w:r>
              <w:rPr>
                <w:rFonts w:ascii="Noto Sans" w:hAnsi="Noto Sans"/>
                <w:color w:val="102A43"/>
                <w:sz w:val="20"/>
              </w:rPr>
              <w:t>Сопоставления с мозгом в этом отчёте являются функциональными аналогиями. Они описывают похожую роль в обработке информации, но не утверждают одинаковую физическую реализацию, нейронную динамику или наличие субъективного опыта.</w:t>
            </w:r>
          </w:p>
        </w:tc>
      </w:tr>
    </w:tbl>
    <w:p>
      <w:pPr>
        <w:spacing w:after="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486581"/>
        <w:sz w:val="17"/>
      </w:rPr>
      <w:t xml:space="preserve">Технический анализ автономного агента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w:hAnsi="Noto Sans"/>
      <w:b/>
      <w:bCs/>
      <w:color w:val="2F5D8A"/>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w:hAnsi="Noto Sans"/>
      <w:b/>
      <w:bCs/>
      <w:color w:val="0B6E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4" w:lineRule="auto"/>
    </w:pPr>
    <w:rPr>
      <w:rFonts w:ascii="Noto Sans" w:hAnsi="Noto Sans"/>
      <w:color w:val="102A4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Noto Sans" w:hAnsi="Noto Sans"/>
      <w:color w:val="102A43"/>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Noto Sans" w:hAnsi="Noto Sans"/>
      <w:color w:val="102A4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Noto Sans" w:hAnsi="Noto Sans"/>
      <w:color w:val="102A4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Технический анализ функциональных аналогов когнитивных систем человеческого мозга в архитектуре автономного агента</dc:title>
  <dc:subject>Архитектура автономного агента, память, планирование, метакогниция, доказательность</dc:subject>
  <dc:creator>Андрей Шапиро</dc:creator>
  <cp:keywords>автономный агент, когнитивная архитектура, память, мозг, метакогниция, технический анализ</cp:keywords>
  <dc:description>generated by python-docx</dc:description>
  <cp:lastModifiedBy/>
  <cp:revision>1</cp:revision>
  <dcterms:created xsi:type="dcterms:W3CDTF">2013-12-23T23:15:00Z</dcterms:created>
  <dcterms:modified xsi:type="dcterms:W3CDTF">2013-12-23T23:15:00Z</dcterms:modified>
  <cp:category/>
</cp:coreProperties>
</file>