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72F5" w:rsidRPr="00FC6CC5" w:rsidRDefault="00813E8F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C6CC5">
        <w:rPr>
          <w:rFonts w:ascii="Cambria Math" w:hAnsi="Cambria Math"/>
          <w:bCs/>
          <w:sz w:val="24"/>
          <w:szCs w:val="28"/>
        </w:rPr>
        <w:t xml:space="preserve">Задание 13. (58) </w:t>
      </w:r>
      <w:r w:rsidR="005C72F5" w:rsidRPr="00FC6CC5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5C72F5" w:rsidRPr="00FC6CC5">
        <w:rPr>
          <w:rFonts w:ascii="Cambria Math" w:hAnsi="Cambria Math"/>
          <w:b/>
          <w:bCs/>
          <w:sz w:val="24"/>
          <w:szCs w:val="28"/>
        </w:rPr>
        <w:t>верны</w:t>
      </w:r>
      <w:r w:rsidR="005C72F5" w:rsidRPr="00FC6CC5">
        <w:rPr>
          <w:rFonts w:ascii="Cambria Math" w:hAnsi="Cambria Math"/>
          <w:sz w:val="24"/>
          <w:szCs w:val="28"/>
        </w:rPr>
        <w:t>?</w:t>
      </w:r>
    </w:p>
    <w:p w:rsidR="005C72F5" w:rsidRPr="00FC6CC5" w:rsidRDefault="005C72F5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C6CC5">
        <w:rPr>
          <w:rFonts w:ascii="Cambria Math" w:hAnsi="Cambria Math"/>
          <w:sz w:val="24"/>
          <w:szCs w:val="28"/>
        </w:rPr>
        <w:t>1) Около любого правильного многоугольника можно описать не более одной окружности.</w:t>
      </w:r>
    </w:p>
    <w:p w:rsidR="005C72F5" w:rsidRPr="00FC6CC5" w:rsidRDefault="005C72F5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C6CC5">
        <w:rPr>
          <w:rFonts w:ascii="Cambria Math" w:hAnsi="Cambria Math"/>
          <w:sz w:val="24"/>
          <w:szCs w:val="28"/>
        </w:rPr>
        <w:t>2) Центр окружности, описанной около треугольника со сторонами, равными 3, 4, 5, находится на стороне этого треугольника.</w:t>
      </w:r>
    </w:p>
    <w:p w:rsidR="005C72F5" w:rsidRPr="00FC6CC5" w:rsidRDefault="005C72F5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C6CC5">
        <w:rPr>
          <w:rFonts w:ascii="Cambria Math" w:hAnsi="Cambria Math"/>
          <w:sz w:val="24"/>
          <w:szCs w:val="28"/>
        </w:rPr>
        <w:t>3) Центром окружности, описанной около квадрата, является точка пересечения его диагоналей.</w:t>
      </w:r>
    </w:p>
    <w:p w:rsidR="005C72F5" w:rsidRPr="00FC6CC5" w:rsidRDefault="005C72F5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C6CC5">
        <w:rPr>
          <w:rFonts w:ascii="Cambria Math" w:hAnsi="Cambria Math"/>
          <w:sz w:val="24"/>
          <w:szCs w:val="28"/>
        </w:rPr>
        <w:t>4) Около любого ромба можно описать окружность.</w:t>
      </w:r>
    </w:p>
    <w:p w:rsidR="005C72F5" w:rsidRPr="00FC6CC5" w:rsidRDefault="005C72F5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FC6CC5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FC6CC5" w:rsidRDefault="00596DFF">
      <w:pPr>
        <w:rPr>
          <w:sz w:val="24"/>
        </w:rPr>
      </w:pPr>
    </w:p>
    <w:sectPr w:rsidR="00596DFF" w:rsidRPr="00FC6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F5"/>
    <w:rsid w:val="00596DFF"/>
    <w:rsid w:val="005C72F5"/>
    <w:rsid w:val="00813E8F"/>
    <w:rsid w:val="00FC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0CB935-D80D-4C7E-B76B-77E9F358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