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54B0" w:rsidRPr="00EE7A01" w:rsidRDefault="00671C5A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7A01">
        <w:rPr>
          <w:rFonts w:ascii="Cambria Math" w:hAnsi="Cambria Math"/>
          <w:bCs/>
          <w:sz w:val="24"/>
          <w:szCs w:val="28"/>
        </w:rPr>
        <w:t xml:space="preserve">Задание 13. (64) </w:t>
      </w:r>
      <w:r w:rsidR="00F154B0" w:rsidRPr="00EE7A01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F154B0" w:rsidRPr="00EE7A01">
        <w:rPr>
          <w:rFonts w:ascii="Cambria Math" w:hAnsi="Cambria Math"/>
          <w:b/>
          <w:bCs/>
          <w:sz w:val="24"/>
          <w:szCs w:val="28"/>
        </w:rPr>
        <w:t>верны</w:t>
      </w:r>
      <w:r w:rsidR="00F154B0" w:rsidRPr="00EE7A01">
        <w:rPr>
          <w:rFonts w:ascii="Cambria Math" w:hAnsi="Cambria Math"/>
          <w:sz w:val="24"/>
          <w:szCs w:val="28"/>
        </w:rPr>
        <w:t>?</w:t>
      </w:r>
    </w:p>
    <w:p w:rsidR="00F154B0" w:rsidRPr="00EE7A01" w:rsidRDefault="00F154B0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7A01">
        <w:rPr>
          <w:rFonts w:ascii="Cambria Math" w:hAnsi="Cambria Math"/>
          <w:sz w:val="24"/>
          <w:szCs w:val="28"/>
        </w:rPr>
        <w:t>1) Если катет и гипотенуза прямоугольного треугольника равны соответственно 6 и 10, то второй катет этого треугольника равен 8.</w:t>
      </w:r>
    </w:p>
    <w:p w:rsidR="00F154B0" w:rsidRPr="00EE7A01" w:rsidRDefault="00F154B0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7A01">
        <w:rPr>
          <w:rFonts w:ascii="Cambria Math" w:hAnsi="Cambria Math"/>
          <w:sz w:val="24"/>
          <w:szCs w:val="28"/>
        </w:rPr>
        <w:t>2) Любые два равнобедренных треугольника подобны.</w:t>
      </w:r>
    </w:p>
    <w:p w:rsidR="00F154B0" w:rsidRPr="00EE7A01" w:rsidRDefault="00F154B0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7A01">
        <w:rPr>
          <w:rFonts w:ascii="Cambria Math" w:hAnsi="Cambria Math"/>
          <w:sz w:val="24"/>
          <w:szCs w:val="28"/>
        </w:rPr>
        <w:t>3) Любые два прямоугольных треугольника подобны.</w:t>
      </w:r>
    </w:p>
    <w:p w:rsidR="00F154B0" w:rsidRPr="00EE7A01" w:rsidRDefault="00F154B0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7A01">
        <w:rPr>
          <w:rFonts w:ascii="Cambria Math" w:hAnsi="Cambria Math"/>
          <w:sz w:val="24"/>
          <w:szCs w:val="28"/>
        </w:rPr>
        <w:t>4) Треугольник ABC, у которого AB = 3, BC = 4, AC = 5, является тупоугольным.</w:t>
      </w:r>
    </w:p>
    <w:p w:rsidR="00F154B0" w:rsidRPr="00EE7A01" w:rsidRDefault="00F154B0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EE7A01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EE7A01" w:rsidRDefault="00596DFF">
      <w:pPr>
        <w:rPr>
          <w:sz w:val="24"/>
        </w:rPr>
      </w:pPr>
    </w:p>
    <w:sectPr w:rsidR="00596DFF" w:rsidRPr="00EE7A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B0"/>
    <w:rsid w:val="00596DFF"/>
    <w:rsid w:val="00671C5A"/>
    <w:rsid w:val="00EE7A01"/>
    <w:rsid w:val="00F1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75BB9-468F-405A-80D2-A5BDE38B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