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3DE8" w:rsidRPr="00E11FBC" w:rsidRDefault="0043556F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11FBC">
        <w:rPr>
          <w:rFonts w:ascii="Cambria Math" w:hAnsi="Cambria Math"/>
          <w:bCs/>
          <w:sz w:val="24"/>
          <w:szCs w:val="28"/>
        </w:rPr>
        <w:t xml:space="preserve">Задание 13. (82) </w:t>
      </w:r>
      <w:r w:rsidR="00B83DE8" w:rsidRPr="00E11FBC">
        <w:rPr>
          <w:rFonts w:ascii="Cambria Math" w:hAnsi="Cambria Math"/>
          <w:sz w:val="24"/>
          <w:szCs w:val="28"/>
        </w:rPr>
        <w:t xml:space="preserve">Укажите номера </w:t>
      </w:r>
      <w:r w:rsidR="00B83DE8" w:rsidRPr="00E11FBC">
        <w:rPr>
          <w:rFonts w:ascii="Cambria Math" w:hAnsi="Cambria Math"/>
          <w:b/>
          <w:bCs/>
          <w:sz w:val="24"/>
          <w:szCs w:val="28"/>
        </w:rPr>
        <w:t>верных</w:t>
      </w:r>
      <w:r w:rsidR="00B83DE8" w:rsidRPr="00E11FBC">
        <w:rPr>
          <w:rFonts w:ascii="Cambria Math" w:hAnsi="Cambria Math"/>
          <w:sz w:val="24"/>
          <w:szCs w:val="28"/>
        </w:rPr>
        <w:t xml:space="preserve"> утверждений.  </w:t>
      </w:r>
    </w:p>
    <w:p w:rsidR="00B83DE8" w:rsidRPr="00E11FBC" w:rsidRDefault="00B83DE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11FBC">
        <w:rPr>
          <w:rFonts w:ascii="Cambria Math" w:hAnsi="Cambria Math"/>
          <w:sz w:val="24"/>
          <w:szCs w:val="28"/>
        </w:rPr>
        <w:t xml:space="preserve">1) Биссектриса равнобедренного треугольника, проведенная из вершины, противоположная основанию, делит основание на две равные части.  </w:t>
      </w:r>
    </w:p>
    <w:p w:rsidR="00B83DE8" w:rsidRPr="00E11FBC" w:rsidRDefault="00B83DE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11FBC">
        <w:rPr>
          <w:rFonts w:ascii="Cambria Math" w:hAnsi="Cambria Math"/>
          <w:sz w:val="24"/>
          <w:szCs w:val="28"/>
        </w:rPr>
        <w:t xml:space="preserve">2) В любом прямоугольнике диагонали взаимно перпендикулярны.  </w:t>
      </w:r>
    </w:p>
    <w:p w:rsidR="00B83DE8" w:rsidRPr="00E11FBC" w:rsidRDefault="00B83DE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11FBC">
        <w:rPr>
          <w:rFonts w:ascii="Cambria Math" w:hAnsi="Cambria Math"/>
          <w:sz w:val="24"/>
          <w:szCs w:val="28"/>
        </w:rPr>
        <w:t xml:space="preserve">3) Для точки, лежащей на окружности, расстояние до центра окружности равно радиусу.  </w:t>
      </w:r>
    </w:p>
    <w:p w:rsidR="00B83DE8" w:rsidRPr="00E11FBC" w:rsidRDefault="00B83DE8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E11FBC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E11FBC" w:rsidRDefault="00596DFF">
      <w:pPr>
        <w:rPr>
          <w:sz w:val="24"/>
        </w:rPr>
      </w:pPr>
    </w:p>
    <w:sectPr w:rsidR="00596DFF" w:rsidRPr="00E11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E8"/>
    <w:rsid w:val="0043556F"/>
    <w:rsid w:val="00596DFF"/>
    <w:rsid w:val="00B83DE8"/>
    <w:rsid w:val="00E1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C95AFA-FAFE-4546-A5DF-5A2856AC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