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E7509" w14:textId="77777777" w:rsidR="00901AA6" w:rsidRPr="00D86A44" w:rsidRDefault="00FA4DB1" w:rsidP="00D86A44">
      <w:r w:rsidRPr="00D86A44">
        <w:rPr>
          <w:rFonts w:eastAsia="Times New Roman"/>
          <w:bCs/>
          <w:szCs w:val="28"/>
          <w:lang w:eastAsia="ru-RU"/>
        </w:rPr>
        <w:t xml:space="preserve">Задание 17. (70) </w:t>
      </w:r>
      <w:r w:rsidR="00787DB7" w:rsidRPr="00D86A44">
        <w:rPr>
          <w:rFonts w:eastAsia="Times New Roman"/>
          <w:szCs w:val="28"/>
          <w:lang w:eastAsia="ru-RU"/>
        </w:rPr>
        <w:t>Точка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H</w:t>
      </w:r>
      <w:r w:rsidR="00787DB7" w:rsidRPr="00D86A44">
        <w:rPr>
          <w:rFonts w:eastAsia="Times New Roman"/>
          <w:szCs w:val="28"/>
          <w:lang w:eastAsia="ru-RU"/>
        </w:rPr>
        <w:t> является основанием высоты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787DB7" w:rsidRPr="00D86A44">
        <w:rPr>
          <w:rFonts w:eastAsia="Times New Roman"/>
          <w:szCs w:val="28"/>
          <w:lang w:eastAsia="ru-RU"/>
        </w:rPr>
        <w:t>, проведённой из вершины прямого угла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787DB7" w:rsidRPr="00D86A44">
        <w:rPr>
          <w:rFonts w:eastAsia="Times New Roman"/>
          <w:szCs w:val="28"/>
          <w:lang w:eastAsia="ru-RU"/>
        </w:rPr>
        <w:t> прямоугольного треугольника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ABC</w:t>
      </w:r>
      <w:r w:rsidR="00787DB7" w:rsidRPr="00D86A44">
        <w:rPr>
          <w:rFonts w:eastAsia="Times New Roman"/>
          <w:szCs w:val="28"/>
          <w:lang w:eastAsia="ru-RU"/>
        </w:rPr>
        <w:t>. Окружность с диаметром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787DB7" w:rsidRPr="00D86A44">
        <w:rPr>
          <w:rFonts w:eastAsia="Times New Roman"/>
          <w:szCs w:val="28"/>
          <w:lang w:eastAsia="ru-RU"/>
        </w:rPr>
        <w:t> пересекает стороны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787DB7" w:rsidRPr="00D86A44">
        <w:rPr>
          <w:rFonts w:eastAsia="Times New Roman"/>
          <w:szCs w:val="28"/>
          <w:lang w:eastAsia="ru-RU"/>
        </w:rPr>
        <w:t> и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CB</w:t>
      </w:r>
      <w:r w:rsidR="00787DB7" w:rsidRPr="00D86A44">
        <w:rPr>
          <w:rFonts w:eastAsia="Times New Roman"/>
          <w:szCs w:val="28"/>
          <w:lang w:eastAsia="ru-RU"/>
        </w:rPr>
        <w:t> в точках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P</w:t>
      </w:r>
      <w:r w:rsidR="00787DB7" w:rsidRPr="00D86A44">
        <w:rPr>
          <w:rFonts w:eastAsia="Times New Roman"/>
          <w:szCs w:val="28"/>
          <w:lang w:eastAsia="ru-RU"/>
        </w:rPr>
        <w:t> и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K</w:t>
      </w:r>
      <w:r w:rsidR="00787DB7" w:rsidRPr="00D86A44">
        <w:rPr>
          <w:rFonts w:eastAsia="Times New Roman"/>
          <w:szCs w:val="28"/>
          <w:lang w:eastAsia="ru-RU"/>
        </w:rPr>
        <w:t> соответственно. Найдите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PK</w:t>
      </w:r>
      <w:r w:rsidR="00787DB7" w:rsidRPr="00D86A44">
        <w:rPr>
          <w:rFonts w:eastAsia="Times New Roman"/>
          <w:szCs w:val="28"/>
          <w:lang w:eastAsia="ru-RU"/>
        </w:rPr>
        <w:t>, если </w:t>
      </w:r>
      <w:r w:rsidR="00787DB7" w:rsidRPr="00D86A44">
        <w:rPr>
          <w:rFonts w:eastAsia="Times New Roman"/>
          <w:szCs w:val="28"/>
          <w:bdr w:val="none" w:sz="0" w:space="0" w:color="auto" w:frame="1"/>
          <w:lang w:eastAsia="ru-RU"/>
        </w:rPr>
        <w:t>BH=11</w:t>
      </w:r>
      <w:r w:rsidR="00787DB7" w:rsidRPr="00D86A44">
        <w:rPr>
          <w:rFonts w:eastAsia="Times New Roman"/>
          <w:szCs w:val="28"/>
          <w:lang w:eastAsia="ru-RU"/>
        </w:rPr>
        <w:t>.</w:t>
      </w:r>
    </w:p>
    <w:sectPr w:rsidR="00901AA6" w:rsidRPr="00D86A44" w:rsidSect="00D86A4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B7"/>
    <w:rsid w:val="00787DB7"/>
    <w:rsid w:val="00901AA6"/>
    <w:rsid w:val="00C571E9"/>
    <w:rsid w:val="00D86A44"/>
    <w:rsid w:val="00DC0DB4"/>
    <w:rsid w:val="00FA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1A0DC"/>
  <w15:chartTrackingRefBased/>
  <w15:docId w15:val="{EBE5EDC1-6170-49CA-A4D1-60AA7175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2026-05-13T13:59:00Z</dcterms:modified>
</cp:coreProperties>
</file>