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Más allá de la ideología</w:t>
      </w:r>
    </w:p>
    <w:p>
      <w:pPr>
        <w:spacing w:after="400" w:before="120"/>
        <w:jc w:val="center"/>
      </w:pPr>
      <w:r>
        <w:rPr>
          <w:rFonts w:ascii="Calibri" w:cs="Calibri" w:eastAsia="Calibri" w:hAnsi="Calibri"/>
          <w:color w:val="2E6B7E"/>
          <w:sz w:val="28"/>
          <w:szCs w:val="28"/>
        </w:rPr>
        <w:t xml:space="preserve">Tipologías empíricas de los partidos y movimientos políticos colombianos (1848–2023)</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y no vehículos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tipologías empíricas de partidos políticos colombianos emergen del análisis conjunto de sus características organizativas, electorales e ideológicas, y qué revelan sobre la estructura del sistema de partidos?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—de forma casi paradójica (sección 5.4)— los partidos electoralmente más exitosos son también los que con mayor frecuencia carecen de ella. Un marco que se apoye en la ideología está, entonces, construido sobre datos faltantes en la mitad de los casos que más importan.</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vehículos efímeros.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(cubierta en la sesión de no supervisado del curso).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(“maquinarias electorales multinivel”)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vehículos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A7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A7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A8 en Anexos: clusters del segundo nivel: tamaño y composición ideológica.)</w:t>
      </w:r>
    </w:p>
    <w:p>
      <w:pPr>
        <w:spacing w:after="160" w:line="276"/>
      </w:pPr>
      <w:r>
        <w:rPr>
          <w:rFonts w:ascii="Calibri" w:cs="Calibri" w:eastAsia="Calibri" w:hAnsi="Calibri"/>
          <w:i/>
          <w:iCs/>
          <w:color w:val="595959"/>
          <w:sz w:val="20"/>
          <w:szCs w:val="20"/>
        </w:rPr>
        <w:t xml:space="preserve">(Ver Tabla A9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vehículo”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A10, Anexos). El contraste es contundente: la mitad de los partidos vehículo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A10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“Maquinarias electorales multinivel”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locales con identidad ideológica”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funcionan como maquinarias multinivel;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vehículos sin sustancia,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A11,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vehículos electorales;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A11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“maquinarias multinivel”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“vehículos marginales”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mantener el reporte principal dentro de las 12 páginas acordadas.</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A8.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A9.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A11.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2026-07-06T19:59:50.847Z</dcterms:created>
  <dcterms:modified xsi:type="dcterms:W3CDTF">2026-07-06T19:59:50.848Z</dcterms:modified>
</cp:coreProperties>
</file>

<file path=docProps/custom.xml><?xml version="1.0" encoding="utf-8"?>
<Properties xmlns="http://schemas.openxmlformats.org/officeDocument/2006/custom-properties" xmlns:vt="http://schemas.openxmlformats.org/officeDocument/2006/docPropsVTypes"/>
</file>