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y no vehículos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políticos colombianos emergen del análisis conjunto de sus características organizativas, electorales e ideológicas, y qué revelan sobre la estructura del sistema de partidos?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vehículos efímeros.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(“maquinarias electorales multinivel”)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vehículos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vehículo”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vehículo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“Maquinarias electorales multinivel”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locales con identidad ideológica”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funcionan como maquinarias multinivel;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vehículos sin sustancia,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vehículos electorales;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“maquinarias multinivel”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“vehículos marginales”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2026-07-06T19:57:55.492Z</dcterms:created>
  <dcterms:modified xsi:type="dcterms:W3CDTF">2026-07-06T19:57:55.496Z</dcterms:modified>
</cp:coreProperties>
</file>

<file path=docProps/custom.xml><?xml version="1.0" encoding="utf-8"?>
<Properties xmlns="http://schemas.openxmlformats.org/officeDocument/2006/custom-properties" xmlns:vt="http://schemas.openxmlformats.org/officeDocument/2006/docPropsVTypes"/>
</file>