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¿Maquinarias electorales o vehículos de garaje?</w:t>
      </w:r>
    </w:p>
    <w:p>
      <w:pPr>
        <w:spacing w:after="400" w:before="120"/>
        <w:jc w:val="center"/>
      </w:pPr>
      <w:r>
        <w:rPr>
          <w:rFonts w:ascii="Calibri" w:cs="Calibri" w:eastAsia="Calibri" w:hAnsi="Calibri"/>
          <w:color w:val="2E6B7E"/>
          <w:sz w:val="28"/>
          <w:szCs w:val="28"/>
        </w:rPr>
        <w:t xml:space="preserve">Perfiles de los partidos y movimientos políticos colombianos (1848–2022): una tipología basada en K-Means</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color w:val="595959"/>
          <w:sz w:val="20"/>
          <w:szCs w:val="20"/>
        </w:rPr>
        <w:t xml:space="preserve">Base de datos: CEDE – Universidad de los Andes, clasificación de partidos políticos colombianos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perfiles o tipos de partidos y movimientos políticos han existido en Colombia entre 1848 y 2022, en términos de su alcance electoral (local, regional o nacional) y su carácter ideológico, y qué proporción de esas organizaciones corresponde a vehículos electorales marginales frente a maquinarias partidistas consolidadas y multinivel?</w:t>
      </w:r>
    </w:p>
    <w:p>
      <w:pPr>
        <w:spacing w:after="160" w:line="276"/>
      </w:pPr>
      <w:r>
        <w:rPr>
          <w:rFonts w:ascii="Calibri" w:cs="Calibri" w:eastAsia="Calibri" w:hAnsi="Calibri"/>
          <w:sz w:val="22"/>
          <w:szCs w:val="22"/>
        </w:rPr>
        <w:t xml:space="preserve">Es una pregunta de naturaleza descriptiva/exploratoria: no se busca predecir una etiqueta ya conocida, sino descubrir agrupamientos latentes a partir de los atributos disponibles (ideología, tradición, grado de nacionalización, grupo representativo y participación electoral en siete tipos de cargos de elección popular).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El debate sobre la proliferación de partidos y movimientos políticos —popularmente conocidos como “partidos de garaje” o “microempresas electorales”— ha sido central en las reformas al régimen de partidos en Colombia (Acto Legislativo 01 de 2003, Ley 1475 de 2011 y las discusiones de reforma política de 2023–2025). La preocupación de fondo es que un número elevado de organizaciones obtienen o mantienen personería jurídica sin construir una presencia electoral real ni una identidad programática, lo que fragmenta la representación, dificulta la rendición de cuentas y encarece la administración electoral (tarjetones, financiación estatal, curules).</w:t>
      </w:r>
    </w:p>
    <w:p>
      <w:pPr>
        <w:spacing w:after="160" w:line="276"/>
      </w:pPr>
      <w:r>
        <w:rPr>
          <w:rFonts w:ascii="Calibri" w:cs="Calibri" w:eastAsia="Calibri" w:hAnsi="Calibri"/>
          <w:sz w:val="22"/>
          <w:szCs w:val="22"/>
        </w:rPr>
        <w:t xml:space="preserve">A la vez, la literatura sobre sistemas de partidos en Colombia (Pizarro León-Gómez, Gutierrez Sannín, entre otros) documenta una fragmentación ideológica creciente desde el colapso del bipartidismo tradicional en los años 2000, con partidos cada vez más personalistas y menos programáticos. Sin embargo, buena parte de ese diagnóstico se apoya en estudios de caso o en el análisis de las principales colectividades, sin cuantificar sistemáticamente, sobre el universo completo de partidos alguna vez registrados, cuántos operan efectivamente como maquinarias multinivel y cuántos son vehículos marginales.</w:t>
      </w:r>
    </w:p>
    <w:p>
      <w:pPr>
        <w:spacing w:after="160" w:line="276"/>
      </w:pPr>
      <w:r>
        <w:rPr>
          <w:rFonts w:ascii="Calibri" w:cs="Calibri" w:eastAsia="Calibri" w:hAnsi="Calibri"/>
          <w:sz w:val="22"/>
          <w:szCs w:val="22"/>
        </w:rPr>
        <w:t xml:space="preserve">Este reporte busca llenar ese vacío: usando técnicas de agrupamiento no supervisado sobre la base histórica más completa disponible (CEDE–Uniandes, 5.143 partidos y movimientos entre 1848 y 2022), se construye una tipología empírica que permite cuantificar cuántas organizaciones corresponden a cada perfil. El hallazgo central —que menos del 2% de las organizaciones históricas se comporta como maquinaria electoral multinivel real, mientras el resto opera de forma marginal o local— aporta evidencia directa y cuantificada al diseño de umbrales de personería jurídica, reglas de coalición y fórmulas de financiación estatal por desempeño electoral.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en los datos una variable de “tipo de partido” previamente etiquetada, se descartó cualquier método supervisado (regresión logística, árboles, kNN, SVM) porque estos requieren una variable objetivo observada; aquí la tipología es precisamente lo que se busca descubrir. Se optó por K-Means, un método de aprendizaje no supervisado,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(que requiere una matriz de distancias de n×n y no escala bien más allá de unos pocos miles de casos, además de ser difícil de visualizar en un dendrograma con tantas hojas) resulta poco práctico frente a K-Means, cuyo costo computacional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la codificación dummy de las variables categóricas y su estandarización, K-Means con distancia euclidiana es un método simple, interpretable y computacionalmente eficiente, adecuado como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métodos como DBSCAN (sensible a la densidad y a la elección de ε, poco adecuado para datos dummy de alta dimensionalidad y dispersos) o los modelos de mezcla gaussiana (que asumen una estructura de covarianza continua poco natural para variables binarias), K-Means admite criterios de validación estándar y ampliamente aceptados (método del codo, índice de silhouette, Calinski-Harabasz) que permiten justificar objetivamente el número de grupos.</w:t>
      </w:r>
    </w:p>
    <w:p>
      <w:pPr>
        <w:spacing w:after="160" w:line="276"/>
      </w:pPr>
      <w:r>
        <w:rPr>
          <w:rFonts w:ascii="Calibri" w:cs="Calibri" w:eastAsia="Calibri" w:hAnsi="Calibri"/>
          <w:sz w:val="22"/>
          <w:szCs w:val="22"/>
        </w:rPr>
        <w:t xml:space="preserve">El análisis de componentes principales (PCA) se empleó únicamente como herramienta complementaria de visualización e interpretación de las cargas de las variables, no como paso previo de reducción de dimensionalidad para el clustering (K-Means se corrió sobre las 25–30 variables dummy estandarizadas, no sobre los componentes).</w:t>
      </w:r>
    </w:p>
    <w:p>
      <w:pPr>
        <w:spacing w:after="160" w:line="276"/>
      </w:pPr>
      <w:r>
        <w:rPr>
          <w:rFonts w:ascii="Calibri" w:cs="Calibri" w:eastAsia="Calibri" w:hAnsi="Calibri"/>
          <w:sz w:val="22"/>
          <w:szCs w:val="22"/>
        </w:rPr>
        <w:t xml:space="preserve">Una vez obtenidos los grupos, se validó su significancia estadística mediante pruebas χ² de independencia entre cada variable original y la asignación de cluster, con el estadístico V de Cramér como medida de tamaño del efecto y corrección de Benjamini-Hochberg para el múltiple testing (12 pruebas simultáneas).</w:t>
      </w:r>
    </w:p>
    <w:p>
      <w:pPr>
        <w:pStyle w:val="Heading1"/>
      </w:pPr>
      <w:r>
        <w:t xml:space="preserve">4. Datos</w:t>
      </w:r>
    </w:p>
    <w:p>
      <w:pPr>
        <w:spacing w:after="160" w:line="276"/>
      </w:pPr>
      <w:r>
        <w:rPr>
          <w:rFonts w:ascii="Calibri" w:cs="Calibri" w:eastAsia="Calibri" w:hAnsi="Calibri"/>
          <w:sz w:val="22"/>
          <w:szCs w:val="22"/>
        </w:rPr>
        <w:t xml:space="preserve">La base proviene del CEDE (Centro de Estudios sobre Desarrollo Económico), Universidad de los Andes, y contiene la clasificación histórica de partidos y movimientos políticos colombianos. La unidad de observación es el partido/movimiento político (identificado por un código que combina el año de fundación y un consecutivo). El periodo cubierto va de 1848 a 2022 y el archivo original contiene 5.143 observaciones y 27 variables.</w:t>
      </w:r>
    </w:p>
    <w:p>
      <w:pPr>
        <w:pStyle w:val="Heading2"/>
      </w:pPr>
      <w:r>
        <w:t xml:space="preserve">4.1 Variables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 históricos)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Grado de nacionalización del partido (0/1; 99 = sin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Clasificación ideológica a partir de estatutos (izquierda/derecha/otra/no clasificado)</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poblacional o sectorial representado (p.ej. étnico); 98/99 = no aplica / sin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elecciones de alcaldía, asamblea, cámara, concejo, gobernación, presidencia (1ª y 2ª vuelta) y senado</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 variables)</w:t>
            </w:r>
          </w:p>
        </w:tc>
      </w:tr>
    </w:tbl>
    <w:p>
      <w:pPr>
        <w:spacing w:after="160" w:line="276"/>
      </w:pPr>
      <w:r>
        <w:rPr>
          <w:rFonts w:ascii="Calibri" w:cs="Calibri" w:eastAsia="Calibri" w:hAnsi="Calibri"/>
          <w:sz w:val="22"/>
          <w:szCs w:val="22"/>
        </w:rPr>
        <w:t xml:space="preserve"/>
      </w:r>
    </w:p>
    <w:p>
      <w:pPr>
        <w:pStyle w:val="Heading2"/>
      </w:pPr>
      <w:r>
        <w:t xml:space="preserve">4.2 Calidad y tratamiento de los datos</w:t>
      </w:r>
    </w:p>
    <w:p>
      <w:pPr>
        <w:spacing w:after="160" w:line="276"/>
      </w:pPr>
      <w:r>
        <w:rPr>
          <w:rFonts w:ascii="Calibri" w:cs="Calibri" w:eastAsia="Calibri" w:hAnsi="Calibri"/>
          <w:sz w:val="22"/>
          <w:szCs w:val="22"/>
        </w:rPr>
        <w:t xml:space="preserve">El análisis exploratorio inicial mostró que las variables de texto libre (justificaciones y fuentes de clasificación) tienen alta proporción de valores faltantes genuinos (entre 73% y 100%), lo cual es esperable porque solo se documentan cuando existe una fuente primária disponible; estas variables no se usaron en el modelo.</w:t>
      </w:r>
    </w:p>
    <w:p>
      <w:pPr>
        <w:spacing w:after="160" w:line="276"/>
      </w:pPr>
      <w:r>
        <w:rPr>
          <w:rFonts w:ascii="Calibri" w:cs="Calibri" w:eastAsia="Calibri" w:hAnsi="Calibri"/>
          <w:sz w:val="22"/>
          <w:szCs w:val="22"/>
        </w:rPr>
        <w:t xml:space="preserve">Más relevante para la metodología: las variables gradonac, grupo_representativo_1 y grupo_representativo_2 no presentan valores faltantes de tipo NA, sino códigos centinela 98 (“no aplica”) y 99 (“sin clasificar”) que cubren, respectivamente, el 11,3%, el 88,6% y el 98,6% de los partidos. En una primera versión del pipeline estos códigos se recodificaban a NA y se imputaban con la moda de las categorías válidas restantes; se detectó durante la revisión de este trabajo que ese procedimiento fabricaba una variable casi constante (hasta 89% de los partidos forzados a una sola categoría) que, tras estandarizar, dominaba artificialmente la distancia euclídea de K-Means. Se corrigió tratando 98 y 99 como categorías propias, preservando la información real de que la mayoría de partidos simplemente no tiene un grupo representativo definido, sin fabricar una moda ficticia.</w:t>
      </w:r>
    </w:p>
    <w:p>
      <w:pPr>
        <w:spacing w:after="160" w:line="276"/>
      </w:pPr>
      <w:r>
        <w:rPr>
          <w:rFonts w:ascii="Calibri" w:cs="Calibri" w:eastAsia="Calibri" w:hAnsi="Calibri"/>
          <w:sz w:val="22"/>
          <w:szCs w:val="22"/>
        </w:rPr>
        <w:t xml:space="preserve">Todas las variables categóricas se transformaron a variables dummy mediante una matriz de diseño con intercepto que luego se descarta (evitando así que la primera variable del conjunto reciba, por un efecto conocido de R, una codificación de rango completo mientras las demás reciben codificación de referencia —otro problema detectado y corregido en este trabajo, ver sección 7). Las columnas resultantes con varianza cero se eliminaron y el conjunto final (25–30 variables dummy, según la especificación) se estandarizó (media 0, desviación 1).</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usando 100 inicializaciones aleatorias (nstart = 100) por valor de 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 (suma de cuadrados intra-cluster)</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122,472</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0.248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115,875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0.294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567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108,959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102,334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521</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99,223</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0.290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92,186</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0.341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494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87,778</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82,840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492</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criterio Calinski-Harabasz favorece fuertemente k=2 (914), mientras el índice de silhouette crece de forma casi monótona hacia valores mayores de k (máximo en el rango explorado en k=10, con 0.359). Ante este desacuerdo entre criterios —habitual en datos categóricos dummy de alta dimensionalidad— se optó por k=4, que ofrece un equilibrio razonable: un incremento moderado de silhouette respecto a k=2–3 (0.294 vs. 0.248–0.280) y, sobre todo, una partición sustantivamente interpretable y útil para el reporte de política (sección 6), frente a soluciones de k más alto que, si bien maximizan la cohesión estadística, son más difíciles de comunicar con claridad a un tomador de decisiones.</w:t>
      </w:r>
    </w:p>
    <w:p>
      <w:pPr>
        <w:spacing w:after="60" w:before="120"/>
        <w:jc w:val="center"/>
      </w:pPr>
      <w:r>
        <w:drawing>
          <wp:inline distT="0" distB="0" distL="0" distR="0">
            <wp:extent cx="5238750" cy="33718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718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semilla=2025) explica el 25,2% de la varianza total (between_SS/total_SS) y alcanza un silhouette promedio de 0,26. La cohesión interna varía considerablemente entre grupos: los clusters 1 y 2 (los más grandes) muestran silhouette promedio de 0,42 y 0,21 respectivamente —buena separación—, mientras que los clusters 3 y 4 muestran valores de 0,12 y –0,04, respectivamente, indicando que estos últimos, en particular el cluster 4 (el más pequeño y sustantivamente más interesante), tienen menor cohesión interna y deben interpretarse con cautela (ver limitaciones).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bl>
    <w:p>
      <w:pPr>
        <w:spacing w:after="160" w:line="276"/>
      </w:pPr>
      <w:r>
        <w:rPr>
          <w:rFonts w:ascii="Calibri" w:cs="Calibri" w:eastAsia="Calibri" w:hAnsi="Calibri"/>
          <w:sz w:val="22"/>
          <w:szCs w:val="22"/>
        </w:rPr>
        <w:t xml:space="preserve"/>
      </w:r>
    </w:p>
    <w:p>
      <w:pPr>
        <w:spacing w:after="60" w:before="120"/>
        <w:jc w:val="center"/>
      </w:pPr>
      <w:r>
        <w:drawing>
          <wp:inline distT="0" distB="0" distL="0" distR="0">
            <wp:extent cx="4762500" cy="3400425"/>
            <wp:effectExtent t="0" r="0" b="0" l="0"/>
            <wp:docPr id="1" name="Figura 2. Clusters proyectados sobre las dos primeras componentes principales del PCA (uso exclusivamente ilustrativo; el clustering se estimó sobre las variables originales, no sobre los componentes)." descr="Figura 2. Clusters proyectados sobre las dos primeras componentes principales del PCA (uso exclusivamente ilustrativo; el clustering se estimó sobre las variables originales, no sobre los componentes)." title="Figura 2. Clusters proyectados sobre las dos primeras componentes principales del PCA (uso exclusivamente ilustrativo; el clustering se estimó sobre las variables originales, no sobre lo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004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exclusivamente ilustrativo; el clustering se estimó sobre las variables originales, no sobre los componentes).</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de independencia frente a la asignación de cluster, reportando la V de Cramér (tamaño del efecto) y el valor p ajustado por múltiples comparaciones (Benjamini-Hochberg). Las 12 variables resultaron significativas tras el ajuste (p &lt; 0.001), lo que confirma que la partición de K-Means captura patrones reales y no ruido; las variables con mayor asociación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Es relevante notar que, tras corregir el error de codificación dummy descrito en la sección 7, la variable tradicional —que en la versión inicial (con el error) mostraba una V de Cramér perfecta de 1,0, sugiriendo que definía un cluster completo por sí sola— pasó a tener una asociación moderada (0,305), consistente con su verdadero peso relativo entre las 12 variables. Esto confirma que la señal original estaba inflada por el artefacto de codificación.</w:t>
      </w:r>
    </w:p>
    <w:p>
      <w:pPr>
        <w:pStyle w:val="Heading2"/>
      </w:pPr>
      <w:r>
        <w:t xml:space="preserve">5.4 Segundo nivel de análisis: validación con votos electorales reales (1958–2023)</w:t>
      </w:r>
    </w:p>
    <w:p>
      <w:pPr>
        <w:spacing w:after="160" w:line="276"/>
      </w:pPr>
      <w:r>
        <w:rPr>
          <w:rFonts w:ascii="Calibri" w:cs="Calibri" w:eastAsia="Calibri" w:hAnsi="Calibri"/>
          <w:sz w:val="22"/>
          <w:szCs w:val="22"/>
        </w:rPr>
        <w:t xml:space="preserve">Los indicadores part_* usados hasta ahora son binarios (participó o no participó), sin capturar la magnitud del respaldo electoral. Para profundizar, se incorporaron los resultados electorales históricos de la Registraduría/CEDE (1958–2023) para alcaldía, asamblea, cámara, concejo, gobernación, presidencia (ambas vueltas) y senado, a nivel de candidato-municipio-elección.</w:t>
      </w:r>
    </w:p>
    <w:p>
      <w:pPr>
        <w:spacing w:after="160" w:line="276"/>
      </w:pPr>
      <w:r>
        <w:rPr>
          <w:rFonts w:ascii="Calibri" w:cs="Calibri" w:eastAsia="Calibri" w:hAnsi="Calibri"/>
          <w:sz w:val="22"/>
          <w:szCs w:val="22"/>
        </w:rPr>
        <w:t xml:space="preserve">Al cruzar estos resultados con partidos.xlsx por nombre se descubrió un hecho relevante para caracterizar la base completa: el 58% de las 5.143 organizaciones registradas (2.988 filas) corresponden a coaliciones ad hoc de alcance municipal o departamental (por ejemplo, “COALICION CONCEJO DE X.PARTIDO Y Y PARTIDO Z”), no a partidos propiamente dichos. Este hallazgo refuerza, desde otro ángulo, el diagnóstico de la sección 6: buena parte del universo de “partidos” colombianos son en realidad alianzas de un solo uso.</w:t>
      </w:r>
    </w:p>
    <w:p>
      <w:pPr>
        <w:spacing w:after="160" w:line="276"/>
      </w:pPr>
      <w:r>
        <w:rPr>
          <w:rFonts w:ascii="Calibri" w:cs="Calibri" w:eastAsia="Calibri" w:hAnsi="Calibri"/>
          <w:sz w:val="22"/>
          <w:szCs w:val="22"/>
        </w:rPr>
        <w:t xml:space="preserve">Dado que no es posible atribuir de forma no arbitraria los votos de una coalición a un partido individual, estas filas se excluyeron del ejercicio de votos, dejando un universo de 2.155 partidos no-coalición. El emparejamiento de nombres (partido en el archivo electoral vs. partidos.xlsx) usó normalización ligera —mayúsculas, sin tildes, sin puntuación, y eliminando palabras genéricas como “PARTIDO”, “MOVIMIENTO”, “COLOMBIANO”, “POLÍTICO”, “NACIONAL”— logrando emparejar el 80,6% de los votos históricos no-coalición (1.636 de 2.119 partidos no-coalición con al menos un registro de votos). El 19,4% restante corresponde sobre todo a variantes con eslóganes propios (p. ej. “PARTIDO CENTRO DEMOCRATICO - MANO FIRME CORAZON GRANDE”) que una normalización ligera no puede resolver sin riesgo de falsos positivos.</w:t>
      </w:r>
    </w:p>
    <w:p>
      <w:pPr>
        <w:spacing w:after="160" w:line="276"/>
      </w:pPr>
      <w:r>
        <w:rPr>
          <w:rFonts w:ascii="Calibri" w:cs="Calibri" w:eastAsia="Calibri" w:hAnsi="Calibri"/>
          <w:sz w:val="22"/>
          <w:szCs w:val="22"/>
        </w:rPr>
        <w:t xml:space="preserve">Para cada uno de los 2.155 partidos no-coalición se sumaron los votos históricos por nivel electoral (transformados con log(1+votos) por su fuerte sesgo a la derecha) y se combinaron, con la misma codificación dummy consistente de la sección 4.2, con las variables categóricas originales (ideología, tradicional, gradonac, grupo representativo). El criterio de selección de k favoreció con claridad valores bajos (silhouette = 0,542 en k=2 y 0,528 en k=3, frente a 0,27–0,48 para k≥4); se eligió k=3 en vez de k=2 porque separa un tercer grupo —una élite partidista minoritaria— que k=2 fusiona con el grupo intermedio, y esa distinción es la más relevante para el reporte de política.</w:t>
      </w:r>
    </w:p>
    <w:p>
      <w:pPr>
        <w:spacing w:after="160" w:line="276"/>
      </w:pPr>
      <w:r>
        <w:rPr>
          <w:rFonts w:ascii="Calibri" w:cs="Calibri" w:eastAsia="Calibri" w:hAnsi="Calibri"/>
          <w:sz w:val="22"/>
          <w:szCs w:val="22"/>
        </w:rPr>
        <w:t xml:space="preserve">Nótese que el modelo no se estimó solo con votos de senado: las siete variables de votos (log-transformadas, una por nivel electoral) entraron todas como insumo del K-Means, junto con las variables categóricas. La tabla siguiente muestra el tamaño de cada cluster y su composición ideológica, y la que le sigue muestra el promedio de votos históricos (sin transformar) en cada uno de los siete niveles, para verificar que la separación no depende de un solo tipo de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Vehículo marginal</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Nicho / identitario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Élite nacional</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Votos históricos promedio por partido y nivel electoral (1958–2023),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Vehículo marginal</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Nicho / identitario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Élite nacional</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patrón se sostiene en los siete niveles: el cluster “Élite nacional” supera al “Vehículo marginal” por un factor de 60 a 1.300 veces según el nivel, y no es simplemente un resultado impulsado por una sola elección (por ejemplo, solo presidencia o solo senado). El cluster “Nicho/identitario” se distingue por una presencia relativamente alta en gobernación y presidencia frente a una votación mínima en senado, coherente con partidos de representación de intereses específicos que rara vez compiten a nivel nacional.</w:t>
      </w:r>
    </w:p>
    <w:p>
      <w:pPr>
        <w:spacing w:after="60" w:before="120"/>
        <w:jc w:val="center"/>
      </w:pPr>
      <w:r>
        <w:drawing>
          <wp:inline distT="0" distB="0" distL="0" distR="0">
            <wp:extent cx="4953000" cy="3305175"/>
            <wp:effectExtent t="0" r="0" b="0" l="0"/>
            <wp:docPr id="1" name="Figura 3. Segundo nivel: clusters de partidos no-coalición usando votos electorales reales (1958-2023), proyectados sobre las dos primeras componentes principales." descr="Figura 3. Segundo nivel: clusters de partidos no-coalición usando votos electorales reales (1958-2023), proyectados sobre las dos primeras componentes principales." title="Figura 3. Segundo nivel: clusters de partidos no-coalición usando votos electorales reales (1958-2023), proyectados sobre las dos primeras componentes princip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051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Segundo nivel: clusters de partidos no-coalición usando votos electorales reales (1958-2023), proyectados sobre las dos primeras componentes principales.</w:t>
      </w:r>
    </w:p>
    <w:p>
      <w:pPr>
        <w:spacing w:after="160" w:line="276"/>
      </w:pPr>
      <w:r>
        <w:rPr>
          <w:rFonts w:ascii="Calibri" w:cs="Calibri" w:eastAsia="Calibri" w:hAnsi="Calibri"/>
          <w:sz w:val="22"/>
          <w:szCs w:val="22"/>
        </w:rPr>
        <w:t xml:space="preserve">El cluster “Élite nacional” (4,8% de los partidos no-coalición) incluye, de forma reconocible, al Partido Liberal Colombiano (43,6 millones de votos históricos acumulados al Senado), Partido Conservador Colombiano (30,5 millones), Cambio Radical, Polo Democrático Alternativo, Alianza Verde, Nuevo Liberalismo y Opción Ciudadana, entre otros. Este resultado, obtenido con la magnitud real del respaldo electoral y restringido a partidos genuinos (sin las coaliciones ad hoc), corrobora con otra fuente de datos el hallazgo central de la sección 6: una fracción muy pequeña de las organizaciones políticas colombianas concentra la enorme mayoría del músculo electoral real del país.</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El modelo identifica cuatro perfiles de partidos y movimientos políticos, con implicaciones muy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“Partidos locales con identidad ideológica” (37.6%, n=1.931): prácticamente el 100% tiene una ideología clasificada (77.6% en la categoría intermedia, 18.7% de derecha), 15.2% son tradicionales, y su participación electoral se concentra casi exclusivamente en alcaldías (73.6%), con presencia nula en presidencia y mínima en senado (0.6%).</w:t>
      </w:r>
    </w:p>
    <w:p>
      <w:pPr>
        <w:pStyle w:val="ListParagraph"/>
        <w:numPr>
          <w:ilvl w:val="0"/>
          <w:numId w:val="2"/>
        </w:numPr>
        <w:spacing w:after="100" w:line="276"/>
      </w:pPr>
      <w:r>
        <w:rPr>
          <w:rFonts w:ascii="Calibri" w:cs="Calibri" w:eastAsia="Calibri" w:hAnsi="Calibri"/>
          <w:sz w:val="22"/>
          <w:szCs w:val="22"/>
        </w:rPr>
        <w:t xml:space="preserve">Cluster 2 — “Vehículos sin identidad programática” (39.4%, n=2.024): el grupo más grande. El 99.6% no tiene ideología clasificable, casi ninguno es tradicional (0.4%) y su participación electoral, aunque presente en varios niveles (26.2% cámara, 33.3% concejo), es dispersa y sin un patrón de consolidación claro.</w:t>
      </w:r>
    </w:p>
    <w:p>
      <w:pPr>
        <w:pStyle w:val="ListParagraph"/>
        <w:numPr>
          <w:ilvl w:val="0"/>
          <w:numId w:val="2"/>
        </w:numPr>
        <w:spacing w:after="100" w:line="276"/>
      </w:pPr>
      <w:r>
        <w:rPr>
          <w:rFonts w:ascii="Calibri" w:cs="Calibri" w:eastAsia="Calibri" w:hAnsi="Calibri"/>
          <w:sz w:val="22"/>
          <w:szCs w:val="22"/>
        </w:rPr>
        <w:t xml:space="preserve">Cluster 3 — “Partidos ideológicos de espectro amplio” (21.3%, n=1.095): totalmente clasificados ideológicamente (30.0% izquierda, 65.8% categoría intermedia), con alcance local moderado (56.4% en alcaldía) y participación marginal en cargos nacionales.</w:t>
      </w:r>
    </w:p>
    <w:p>
      <w:pPr>
        <w:pStyle w:val="ListParagraph"/>
        <w:numPr>
          <w:ilvl w:val="0"/>
          <w:numId w:val="2"/>
        </w:numPr>
        <w:spacing w:after="100" w:line="276"/>
      </w:pPr>
      <w:r>
        <w:rPr>
          <w:rFonts w:ascii="Calibri" w:cs="Calibri" w:eastAsia="Calibri" w:hAnsi="Calibri"/>
          <w:sz w:val="22"/>
          <w:szCs w:val="22"/>
        </w:rPr>
        <w:t xml:space="preserve">Cluster 4 — “Maquinarias electorales multinivel” (1.8%, n=93): el grupo más pequeño y el más determinante. Participa en todos los niveles muy por encima del promedio — 67.7% en presidencia, 50.5% en senado, 55.9% en cámara, 50.5% en asamblea, 48.4% en concejo y 32.3% en gobernación—, pero, paradójicamente, el 66.7% de estos partidos no tiene una ideología clasificable. Es decir, los partidos con mayor éxito y alcance electoral multinivel tienden a ser los menos programáticos, consistente con el diagnóstico de un sistema de partidos más personalista/clientélico que doctrinario.</w:t>
      </w:r>
    </w:p>
    <w:p>
      <w:pPr>
        <w:spacing w:after="160" w:line="276"/>
      </w:pPr>
      <w:r>
        <w:rPr>
          <w:rFonts w:ascii="Calibri" w:cs="Calibri" w:eastAsia="Calibri" w:hAnsi="Calibri"/>
          <w:sz w:val="22"/>
          <w:szCs w:val="22"/>
        </w:rPr>
        <w:t xml:space="preserve">El hallazgo central para política pública es cuantitativo: de las 5.143 organizaciones políticas registradas históricamente en Colombia, solo 93 (1.8%) funcionan como maquinarias electorales multinivel; el 98.2% restante opera en un solo nivel de gobierno o de forma marginal. El análisis de segundo nivel (sección 5.4), que usa votos reales en vez de participación binaria y excluye las coaliciones ad hoc, corrobora este patrón con otra fuente de datos: solo el 4,8% de los partidos genuinos (no-coalición) —el cluster “Élite nacional”, que incluye al Liberal, Conservador, Cambio Radical, Polo y Alianza Verde— concentra el grueso del respaldo electoral real, mientras el 86% son vehículos con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Estos resultados aportan evidencia cuantitativa al debate sobre la reforma al régimen de partidos:</w:t>
      </w:r>
    </w:p>
    <w:p>
      <w:pPr>
        <w:pStyle w:val="ListParagraph"/>
        <w:numPr>
          <w:ilvl w:val="0"/>
          <w:numId w:val="2"/>
        </w:numPr>
        <w:spacing w:after="100" w:line="276"/>
      </w:pPr>
      <w:r>
        <w:rPr>
          <w:rFonts w:ascii="Calibri" w:cs="Calibri" w:eastAsia="Calibri" w:hAnsi="Calibri"/>
          <w:sz w:val="22"/>
          <w:szCs w:val="22"/>
        </w:rPr>
        <w:t xml:space="preserve">Los umbrales de conservación de personería jurídica (actualmente basados en votación mínima en una sola elección) podrían rediseñarse exigiendo desempeño mínimo en más de un nivel de elección, dado que el 98.2% de los partidos históricos no alcanzaría ese estándar multinivel, mientras el grupo de élite (cluster 4) ya lo cumple con holgura.</w:t>
      </w:r>
    </w:p>
    <w:p>
      <w:pPr>
        <w:pStyle w:val="ListParagraph"/>
        <w:numPr>
          <w:ilvl w:val="0"/>
          <w:numId w:val="2"/>
        </w:numPr>
        <w:spacing w:after="100" w:line="276"/>
      </w:pPr>
      <w:r>
        <w:rPr>
          <w:rFonts w:ascii="Calibri" w:cs="Calibri" w:eastAsia="Calibri" w:hAnsi="Calibri"/>
          <w:sz w:val="22"/>
          <w:szCs w:val="22"/>
        </w:rPr>
        <w:t xml:space="preserve">La financiación estatal por reposición de votos podría ponderarse por amplitud de la participación electoral (número de niveles en que compite un partido), no solo por votos totales, para desincentivar la creación de vehículos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electoral multinivel y ausencia de clasificación ideológica (cluster 4) sugiere que cualquier reforma que busque fortalecer partidos programáticos debería incluir incentivos específicos (p.ej. exigencias de plataforma programática documentada) y no asumir que el éxito electoral por sí solo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de cuatro grupos puede usarse como insumo de monitoreo periódico: reclasificar la oferta partidista vigente contra estos perfiles permitiría a la Registraduría y al Consejo Nacional Electoral identificar, ao a año, si la proliferación de vehículos marginales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en la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de cada partido (variable temporalidad), se comparó la composición de los clusters del segundo nivel (sección 5.4) entre partidos no-coalición fundados en cuatro periodos delimitados por los principales hitos de la reforma al régimen de partidos: antes de la Constitución de 1991, 1991–2003, 2003–2011 (tras el Acto Legislativo 01 de 2003, que introdujo el umbral electoral) y 2011–2023 (tras la Ley 1475 de 2011, que endureció los requisitos de personería jurídica).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Élite nacional</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Vehículo marginal</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patrón es contrario al objetivo declarado de las reformas: el número de partidos nuevos se disparó después de cada reforma (de 395 en 2003–2011 a 1.097 en 2011–2023, un periodo más corto), mientras la probabilidad de que un partido nuevo alcance el nivel “Élite nacional” cayó de 14,4% (1991–2003) a apenas 1,2% (2011–2023). En otras palabras, ni el umbral de 2003 ni la Ley 1475 de 2011 frenaron la creación de vehículos electorales marginales; si acaso, coincidieron con una aceleración de su proliferación, mientras que alcanzar peso electoral real se volvió progresivamente más difícil para los partidos nuevos frente a la ventaja consolidada de las organizaciones históricas (Liberal, Conservador y similares, ya asentadas desde antes de estas reformas).</w:t>
      </w:r>
    </w:p>
    <w:p>
      <w:pPr>
        <w:spacing w:after="160" w:line="276"/>
      </w:pPr>
      <w:r>
        <w:rPr>
          <w:rFonts w:ascii="Calibri" w:cs="Calibri" w:eastAsia="Calibri" w:hAnsi="Calibri"/>
          <w:sz w:val="22"/>
          <w:szCs w:val="22"/>
        </w:rPr>
        <w:t xml:space="preserve">Esto sugiere que los umbrales basados en votación de una sola elección no han sido la herramienta adecuada para contener la proliferación de vehículos electorales, y refuerza la recomendación de la sección 6.2 de exigir desempeño multinivel sostenido, en lugar de un umbral de votación puntual, como criterio de conservación de personería jurídica.</w:t>
      </w:r>
    </w:p>
    <w:p>
      <w:pPr>
        <w:pStyle w:val="Heading1"/>
      </w:pPr>
      <w:r>
        <w:t xml:space="preserve">7. Limitaciones</w:t>
      </w:r>
    </w:p>
    <w:p>
      <w:pPr>
        <w:pStyle w:val="Heading2"/>
      </w:pPr>
      <w:r>
        <w:t xml:space="preserve">7.1 Errores metodológicos identificados y corregidos</w:t>
      </w:r>
    </w:p>
    <w:p>
      <w:pPr>
        <w:spacing w:after="160" w:line="276"/>
      </w:pPr>
      <w:r>
        <w:rPr>
          <w:rFonts w:ascii="Calibri" w:cs="Calibri" w:eastAsia="Calibri" w:hAnsi="Calibri"/>
          <w:sz w:val="22"/>
          <w:szCs w:val="22"/>
        </w:rPr>
        <w:t xml:space="preserve">Durante la revisión de este trabajo se identificaron y corrigieron dos errores en el pipeline original que vale la pena documentar por transparencia:</w:t>
      </w:r>
    </w:p>
    <w:p>
      <w:pPr>
        <w:pStyle w:val="ListParagraph"/>
        <w:numPr>
          <w:ilvl w:val="0"/>
          <w:numId w:val="2"/>
        </w:numPr>
        <w:spacing w:after="100" w:line="276"/>
      </w:pPr>
      <w:r>
        <w:rPr>
          <w:rFonts w:ascii="Calibri" w:cs="Calibri" w:eastAsia="Calibri" w:hAnsi="Calibri"/>
          <w:sz w:val="22"/>
          <w:szCs w:val="22"/>
        </w:rPr>
        <w:t xml:space="preserve">Codificación dummy asimétrica: la matriz de diseño inicial (model.matrix(~.-1, ...)) asignaba, por un comportamiento conocido de R al eliminar el intercepto, codificación de rango completo (ambos niveles como dummies) a la primera variable del conjunto (tradicional) y codificación estándar (nivel de referencia omitido) a las demás, duplicando su peso en la distancia euclídea. Se corrigió generando la matriz con intercepto y eliminándolo después, lo que produce codificación consistente para todas las variables.</w:t>
      </w:r>
    </w:p>
    <w:p>
      <w:pPr>
        <w:pStyle w:val="ListParagraph"/>
        <w:numPr>
          <w:ilvl w:val="0"/>
          <w:numId w:val="2"/>
        </w:numPr>
        <w:spacing w:after="100" w:line="276"/>
      </w:pPr>
      <w:r>
        <w:rPr>
          <w:rFonts w:ascii="Calibri" w:cs="Calibri" w:eastAsia="Calibri" w:hAnsi="Calibri"/>
          <w:sz w:val="22"/>
          <w:szCs w:val="22"/>
        </w:rPr>
        <w:t xml:space="preserve">Imputación por moda de códigos centinela: como se describe en la sección 4.2, los códigos 98/99 (que cubren hasta el 98.6% de los casos en algunas variables) se recodificaban a NA y se imputaban con la moda, fabricando variables casi constantes que distorsionaban la distancia entre observaciones. Se corrigió tratando estos códigos como categorías legítimas.</w:t>
      </w:r>
    </w:p>
    <w:p>
      <w:pPr>
        <w:spacing w:after="160" w:line="276"/>
      </w:pPr>
      <w:r>
        <w:rPr>
          <w:rFonts w:ascii="Calibri" w:cs="Calibri" w:eastAsia="Calibri" w:hAnsi="Calibri"/>
          <w:sz w:val="22"/>
          <w:szCs w:val="22"/>
        </w:rPr>
        <w:t xml:space="preserve">Ambas correcciones cambiaron de forma material los resultados (por ejemplo, la V de Cramér de tradicional pasó de 1,0 a 0,305), lo que subraya la importancia de auditar cuidadosamente el preprocesamiento en cualquier ejercicio de clustering sobre variables categóricas codificadas como dummies.</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este ejercicio es puramente descriptivo. La asociación entre éxito electoral multinivel y ausencia de clasificación ideológica (cluster 4) es correlacional; no permite inferir que la falta de identidad programática cause el éxito electoral, ni viceversa.</w:t>
      </w:r>
    </w:p>
    <w:p>
      <w:pPr>
        <w:pStyle w:val="ListParagraph"/>
        <w:numPr>
          <w:ilvl w:val="0"/>
          <w:numId w:val="2"/>
        </w:numPr>
        <w:spacing w:after="100" w:line="276"/>
      </w:pPr>
      <w:r>
        <w:rPr>
          <w:rFonts w:ascii="Calibri" w:cs="Calibri" w:eastAsia="Calibri" w:hAnsi="Calibri"/>
          <w:sz w:val="22"/>
          <w:szCs w:val="22"/>
        </w:rPr>
        <w:t xml:space="preserve">Estabilidad del cluster pequeño: el cluster 4 (n=93), el más relevante para la narrativa de política, mostró sensibilidad no trivial a la secuencia de generación de números aleatorios incluso con 100 inicializaciones (nstart=100): distintas corridas exploratorias produjeron tamaños de cluster diferentes (entre 46 y 211 partidos) para el mismo grupo sustantivo. Los resultados de este grupo deben interpretarse como indicativos de un patrón real (partidos con éxito electoral multinivel existen y son minoritarios) más que como una frontera exacta y reproducible al dígito.</w:t>
      </w:r>
    </w:p>
    <w:p>
      <w:pPr>
        <w:pStyle w:val="ListParagraph"/>
        <w:numPr>
          <w:ilvl w:val="0"/>
          <w:numId w:val="2"/>
        </w:numPr>
        <w:spacing w:after="100" w:line="276"/>
      </w:pPr>
      <w:r>
        <w:rPr>
          <w:rFonts w:ascii="Calibri" w:cs="Calibri" w:eastAsia="Calibri" w:hAnsi="Calibri"/>
          <w:sz w:val="22"/>
          <w:szCs w:val="22"/>
        </w:rPr>
        <w:t xml:space="preserve">Agregación temporal: se agrupan partidos de 1848 a 2022 sin distinguir el marco institucional vigente en cada periodo (por ejemplo, el régimen electoral cambió sustancialmente con la Constitución de 1991 y la reforma política de 2003). Parte de la señal capturada por los clusters puede reflejar la época de fundación más que un tipo de partido invariante en el tiempo.</w:t>
      </w:r>
    </w:p>
    <w:p>
      <w:pPr>
        <w:pStyle w:val="ListParagraph"/>
        <w:numPr>
          <w:ilvl w:val="0"/>
          <w:numId w:val="2"/>
        </w:numPr>
        <w:spacing w:after="100" w:line="276"/>
      </w:pPr>
      <w:r>
        <w:rPr>
          <w:rFonts w:ascii="Calibri" w:cs="Calibri" w:eastAsia="Calibri" w:hAnsi="Calibri"/>
          <w:sz w:val="22"/>
          <w:szCs w:val="22"/>
        </w:rPr>
        <w:t xml:space="preserve">Calidad y representatividad de la clasificación ideológica: la variable ideología se construye a partir de la revisión de estatutos por parte de investigadores del CEDE, lo cual introduce un componente de juicio interpretativo; además, cerca del 40% de los partidos no tiene ideología clasificable, lo que limita el detalle programático disponible para una fracción importante de la muestra.</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de organizaciones alguna vez registradas, no necesariamente el conjunto de partidos activos hoy; el peso relativo de cada perfil en la oferta electoral vigente puede diferir del histórico agregado.</w:t>
      </w:r>
    </w:p>
    <w:p>
      <w:pPr>
        <w:pStyle w:val="ListParagraph"/>
        <w:numPr>
          <w:ilvl w:val="0"/>
          <w:numId w:val="2"/>
        </w:numPr>
        <w:spacing w:after="100" w:line="276"/>
      </w:pPr>
      <w:r>
        <w:rPr>
          <w:rFonts w:ascii="Calibri" w:cs="Calibri" w:eastAsia="Calibri" w:hAnsi="Calibri"/>
          <w:sz w:val="22"/>
          <w:szCs w:val="22"/>
        </w:rPr>
        <w:t xml:space="preserve">Cobertura del cruce con votos reales (sección 5.4): el emparejamiento de nombres entre los archivos electorales y partidos.xlsx capturó el 80,6% de los votos históricos no-coalición; el 19,4% restante (sobre todo variantes con eslóganes propios) queda sin votos registrados, lo que puede subestimar levemente el peso electoral de algunos partidos en el cluster “Élite nacional” o “Nicho”. Además, las 2.988 filas de coaliciones ad hoc (58% de la base) quedaron fuera de este análisis por no ser atribuibles a un partido individual sin una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las coaliciones ad hoc (sección 6.3): al desglosar por periodo de fundación, el registro muestra 0% de coaliciones antes de 1991 y en 2003–2011, frente a 70% y 66% en 1991–2003 y 2011–2023 respectivamente. Este patrón probablemente refleja que el catálogo de coaliciones ad hoc solo se documentó sistemáticamente para ciertos ciclos electorales de concejo/asamblea (2011, 2015, 2019, 2023), no que las coaliciones locales no existieran en los demás periodos; por eso el análisis temporal de la sección 6.3 se restringe a los partidos no-coalición, donde la cobertura es más pareja entre periodos.</w:t>
      </w:r>
    </w:p>
    <w:p>
      <w:pPr>
        <w:pStyle w:val="ListParagraph"/>
        <w:numPr>
          <w:ilvl w:val="0"/>
          <w:numId w:val="2"/>
        </w:numPr>
        <w:spacing w:after="100" w:line="276"/>
      </w:pPr>
      <w:r>
        <w:rPr>
          <w:rFonts w:ascii="Calibri" w:cs="Calibri" w:eastAsia="Calibri" w:hAnsi="Calibri"/>
          <w:sz w:val="22"/>
          <w:szCs w:val="22"/>
        </w:rPr>
        <w:t xml:space="preserve">Sensibilidad al método de agrupamiento: como chequeo de robustez se recalcularon los grupos con Kernel PCA (RBF) y Spectral Clustering sobre una muestra de 2.000 partidos. El acuerdo con K-Means fue alto pero no total (índice de Rand ajustado = 0,71): Spectral Clustering subdivide el bloque de partidos sin ideología clasificada en dos subgrupos más finos, pero no logra aislar como grupo propio el 1,8% de “maquinarias electorales multinivel” que sí identifica K-Means — esos partidos, al ser minoritarios y dispersos en un espacio dummy de alta dimensión, no forman un vecindario suficientemente denso bajo un kernel RBF/de escalamiento local. Esto sugiere que el hallazgo de una élite electoral multinivel es sensible al método de agrupamiento elegido y debe interpretarse como un patrón robusto pero no como una frontera exacta entre grupos.</w:t>
      </w:r>
    </w:p>
    <w:p>
      <w:pPr>
        <w:pStyle w:val="ListParagraph"/>
        <w:numPr>
          <w:ilvl w:val="0"/>
          <w:numId w:val="2"/>
        </w:numPr>
        <w:spacing w:after="100" w:line="276"/>
      </w:pPr>
      <w:r>
        <w:rPr>
          <w:rFonts w:ascii="Calibri" w:cs="Calibri" w:eastAsia="Calibri" w:hAnsi="Calibri"/>
          <w:sz w:val="22"/>
          <w:szCs w:val="22"/>
        </w:rPr>
        <w:t xml:space="preserve">Consideraciones éticas: clasificar automáticamente partidos como “vehículos marginales” podría malinterpretarse como un juicio de legitimidad política. Esta tipología debe usarse como insumo descriptivo para el diseño de reglas generales (umbrales, financiación), y no como criterio automático para negar o cancelar personería jurídica a organizaciones específicas, decisión que debe basarse en el debido proceso legal vigente.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5F"/>
      <w:sz w:val="30"/>
      <w:szCs w:val="30"/>
    </w:rPr>
  </w:style>
  <w:style w:type="paragraph" w:styleId="Heading2">
    <w:name w:val="Heading 2"/>
    <w:basedOn w:val="Normal"/>
    <w:next w:val="Normal"/>
    <w:qFormat/>
    <w:pPr>
      <w:spacing w:after="140" w:before="260"/>
      <w:outlineLvl w:val="1"/>
    </w:pPr>
    <w:rPr>
      <w:rFonts w:ascii="Calibri" w:cs="Calibri" w:eastAsia="Calibri" w:hAnsi="Calibri"/>
      <w:b/>
      <w:bCs/>
      <w:color w:val="2E6B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cb9d549e0ee420d418e5eb79b0fbc21f6c93e0.png"/><Relationship Id="rId10" Type="http://schemas.openxmlformats.org/officeDocument/2006/relationships/image" Target="media/55a6910c712685602a066fbdbc67a31321a05dd7.png"/><Relationship Id="rId11" Type="http://schemas.openxmlformats.org/officeDocument/2006/relationships/image" Target="media/846b1719d85584695068e728b4a36c2f2575d3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2026-07-06T17:18:21.256Z</dcterms:created>
  <dcterms:modified xsi:type="dcterms:W3CDTF">2026-07-06T17:18:21.261Z</dcterms:modified>
</cp:coreProperties>
</file>

<file path=docProps/custom.xml><?xml version="1.0" encoding="utf-8"?>
<Properties xmlns="http://schemas.openxmlformats.org/officeDocument/2006/custom-properties" xmlns:vt="http://schemas.openxmlformats.org/officeDocument/2006/docPropsVTypes"/>
</file>