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¿Maquinarias electorales o vehículos de garaje?</w:t>
      </w:r>
    </w:p>
    <w:p>
      <w:pPr>
        <w:spacing w:after="400" w:before="120"/>
        <w:jc w:val="center"/>
      </w:pPr>
      <w:r>
        <w:rPr>
          <w:rFonts w:ascii="Calibri" w:cs="Calibri" w:eastAsia="Calibri" w:hAnsi="Calibri"/>
          <w:color w:val="2E6B7E"/>
          <w:sz w:val="28"/>
          <w:szCs w:val="28"/>
        </w:rPr>
        <w:t xml:space="preserve">Perfiles de los partidos y movimientos políticos colombianos: una tipología basada en K-Means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y no vehículos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perfiles o tipos de partidos y movimientos políticos han existido en Colombia, en términos de su alcance electoral (local, regional o nacional) y su carácter ideológico, y qué proporción de esas organizaciones corresponde a vehículos electorales marginales frente a maquinarias partidistas consolidadas y multinivel?</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forma más habitual de describir a un partido colombiano es por su etiqueta ideológica. Pero los propios datos muestran que esa etiqueta es un marcador débil e inconsistente: cerca del 40% de los partidos no tiene ideología clasificable, y —de forma casi paradójica (sección 5.4)— los partidos electoralmente más exitosos son también los que con mayor frecuencia carecen de ella. Ideología, entonces, no es el eje más útil para tipificar a un partido colombiano.</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vehículos efímeros.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(cubierta en la sesión de no supervisado del curso).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(“maquinarias electorales multinivel”)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vehículos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A7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A7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A8 en Anexos: clusters del segundo nivel: tamaño y composición ideológica.)</w:t>
      </w:r>
    </w:p>
    <w:p>
      <w:pPr>
        <w:spacing w:after="160" w:line="276"/>
      </w:pPr>
      <w:r>
        <w:rPr>
          <w:rFonts w:ascii="Calibri" w:cs="Calibri" w:eastAsia="Calibri" w:hAnsi="Calibri"/>
          <w:i/>
          <w:iCs/>
          <w:color w:val="595959"/>
          <w:sz w:val="20"/>
          <w:szCs w:val="20"/>
        </w:rPr>
        <w:t xml:space="preserve">(Ver Tabla A9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vehículo”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A10, Anexos). El contraste es contundente: la mitad de los partidos vehículo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A10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“Maquinarias electorales multinivel”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locales con identidad ideológica”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funcionan como maquinarias multinivel;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son vehículos con votación marginal.</w:t>
      </w:r>
    </w:p>
    <w:p>
      <w:pPr>
        <w:pStyle w:val="Heading2"/>
      </w:pPr>
      <w:r>
        <w:t xml:space="preserve">6.2 Qué significa para la política pública</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A11,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vehículos electorales;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A11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“maquinarias multinivel”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“vehículos marginales”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mantener el reporte principal dentro de las 12 páginas acordadas.</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A8.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A9.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A11.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2026-07-06T19:13:10.069Z</dcterms:created>
  <dcterms:modified xsi:type="dcterms:W3CDTF">2026-07-06T19:13:10.069Z</dcterms:modified>
</cp:coreProperties>
</file>

<file path=docProps/custom.xml><?xml version="1.0" encoding="utf-8"?>
<Properties xmlns="http://schemas.openxmlformats.org/officeDocument/2006/custom-properties" xmlns:vt="http://schemas.openxmlformats.org/officeDocument/2006/docPropsVTypes"/>
</file>