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1C4" w:rsidRPr="00E36CA2" w:rsidRDefault="00D311C4" w:rsidP="00E36CA2">
      <w:pPr>
        <w:pStyle w:val="Ttulo2"/>
      </w:pPr>
      <w:r w:rsidRPr="00E36CA2">
        <w:t>Desenvolvimento de ferramentas computacionais para análise de perfis de difração de raios X</w:t>
      </w:r>
    </w:p>
    <w:p w:rsidR="00D311C4" w:rsidRDefault="00D311C4" w:rsidP="00D311C4"/>
    <w:p w:rsidR="00D311C4" w:rsidRDefault="00D311C4" w:rsidP="00D311C4">
      <w:pPr>
        <w:pStyle w:val="Ttulo2"/>
      </w:pPr>
      <w:r>
        <w:t>Resumo</w:t>
      </w:r>
    </w:p>
    <w:p w:rsidR="00A22659" w:rsidRDefault="00A22659"/>
    <w:p w:rsidR="00D311C4" w:rsidRDefault="00F056D8">
      <w:r>
        <w:t>Já foram cursadas</w:t>
      </w:r>
      <w:r w:rsidR="00D311C4">
        <w:t xml:space="preserve"> as disciplinas obrigatórias, foram feitos estudos aprofundados no estado da arte de difração de raios x, começou-se a fase de teste da ferramenta computacional com os materiais </w:t>
      </w:r>
      <w:proofErr w:type="spellStart"/>
      <w:r w:rsidR="00D311C4">
        <w:t>ZnO</w:t>
      </w:r>
      <w:proofErr w:type="spellEnd"/>
      <w:r w:rsidR="00D311C4">
        <w:t xml:space="preserve"> e </w:t>
      </w:r>
      <w:proofErr w:type="spellStart"/>
      <w:r w:rsidR="00D311C4">
        <w:t>Mn</w:t>
      </w:r>
      <w:r>
        <w:t>ZnFeO</w:t>
      </w:r>
      <w:proofErr w:type="spellEnd"/>
      <w:r>
        <w:t xml:space="preserve">, além da amostra de </w:t>
      </w:r>
      <w:r w:rsidRPr="00F056D8">
        <w:rPr>
          <w:color w:val="000000"/>
          <w:szCs w:val="24"/>
          <w:shd w:val="clear" w:color="auto" w:fill="FFFFFF"/>
        </w:rPr>
        <w:t>CeO</w:t>
      </w:r>
      <w:r w:rsidRPr="00F056D8">
        <w:rPr>
          <w:color w:val="000000"/>
          <w:szCs w:val="24"/>
          <w:shd w:val="clear" w:color="auto" w:fill="FFFFFF"/>
          <w:vertAlign w:val="subscript"/>
        </w:rPr>
        <w:t>2</w:t>
      </w:r>
      <w:r>
        <w:rPr>
          <w:rStyle w:val="apple-converted-space"/>
          <w:color w:val="000000"/>
          <w:sz w:val="27"/>
          <w:szCs w:val="27"/>
          <w:shd w:val="clear" w:color="auto" w:fill="FFFFFF"/>
        </w:rPr>
        <w:t> </w:t>
      </w:r>
      <w:r>
        <w:t xml:space="preserve">cedida por </w:t>
      </w:r>
      <w:proofErr w:type="spellStart"/>
      <w:r>
        <w:t>Balzar</w:t>
      </w:r>
      <w:proofErr w:type="spellEnd"/>
      <w:r>
        <w:t xml:space="preserve"> para validação da ferramenta.</w:t>
      </w:r>
      <w:r w:rsidR="00AF04B4">
        <w:t xml:space="preserve"> Ainda serão feitas análises com outras amostras</w:t>
      </w:r>
    </w:p>
    <w:p w:rsidR="00882D86" w:rsidRDefault="00882D86"/>
    <w:p w:rsidR="001D7465" w:rsidRDefault="002151AB" w:rsidP="001D7465">
      <w:pPr>
        <w:pStyle w:val="PargrafodaLista"/>
        <w:numPr>
          <w:ilvl w:val="0"/>
          <w:numId w:val="1"/>
        </w:numPr>
        <w:rPr>
          <w:b/>
        </w:rPr>
      </w:pPr>
      <w:r w:rsidRPr="002151AB">
        <w:rPr>
          <w:b/>
        </w:rPr>
        <w:t xml:space="preserve">Objetivos </w:t>
      </w:r>
    </w:p>
    <w:p w:rsidR="002151AB" w:rsidRDefault="002151AB" w:rsidP="002151AB">
      <w:pPr>
        <w:rPr>
          <w:b/>
        </w:rPr>
      </w:pPr>
    </w:p>
    <w:p w:rsidR="002151AB" w:rsidRDefault="002151AB" w:rsidP="002151AB">
      <w:r>
        <w:t>O objetivo deste trabalho é desenvolver um conjunto de ferramentas computacionais para a aplicação dos diversos métodos de análise de perfil de difração de raios X, utilizando a linguagem Python</w:t>
      </w:r>
      <w:r w:rsidR="00A11EB6">
        <w:t xml:space="preserve"> </w:t>
      </w:r>
      <w:r w:rsidR="00AD0101">
        <w:fldChar w:fldCharType="begin" w:fldLock="1"/>
      </w:r>
      <w:r w:rsidR="00AF04B4">
        <w:instrText>ADDIN CSL_CITATION { "citationItems" : [ { "id" : "ITEM-1", "itemData" : { "ISBN" : "9788590945116", "abstract" : "Revisada e ampliada, esta edi\u00e7\u00e3o traz algumas novidades, como a inclus\u00e3o de v\u00e1rios recursos interessantes que foram incorporados na vers\u00e3o 2.6 do Python. V\u00e1rios assuntos j\u00e1 abordados na edi\u00e7\u00e3o anterior foram expandidos, incluindo: orienta\u00e7\u00e3o a objetos, rotinas matem\u00e1ticas, interface gr\u00e1fica, computa\u00e7\u00e3o gr\u00e1fica, acesso a bancos de dados e integra\u00e7\u00e3o com aplicativos de c\u00f3digo aberto. Al\u00e9m disso, a formata\u00e7\u00e3o passou por algumas mudan\u00e7as, visando facilitar a leitura em monitores e a impress\u00e3o. Entretanto, a maior parte das mudan\u00e7as vieram com a revis\u00e3o do texto, que agora se tornou compat\u00edvel com a nova ortografia, tarefa facilitada pelo uso do BrOffice.org e suas ferramentas. V\u00e1rias partes do texto foram ampliadas, cap\u00edtulos mudaram de ordem, novos exemplos e diagramas foram acrescentados, com o objetivo de melhorar o encadeamento dos assuntos abordados.", "author" : [ { "dropping-particle" : "", "family" : "Borges", "given" : "Luiz Eduardo", "non-dropping-particle" : "", "parse-names" : false, "suffix" : "" } ], "id" : "ITEM-1", "issued" : { "date-parts" : [ [ "2010" ] ] }, "number-of-pages" : "360", "title" : "Python para Desenvolvedores", "type" : "book" }, "uris" : [ "http://www.mendeley.com/documents/?uuid=e85b40d0-c4c3-4dc4-a3b6-b460d8700297" ] } ], "mendeley" : { "formattedCitation" : "(BORGES, 2010)", "plainTextFormattedCitation" : "(BORGES, 2010)", "previouslyFormattedCitation" : "(BORGES, 2010)" }, "properties" : { "noteIndex" : 0 }, "schema" : "https://github.com/citation-style-language/schema/raw/master/csl-citation.json" }</w:instrText>
      </w:r>
      <w:r w:rsidR="00AD0101">
        <w:fldChar w:fldCharType="separate"/>
      </w:r>
      <w:r w:rsidR="00AF04B4" w:rsidRPr="00AF04B4">
        <w:rPr>
          <w:noProof/>
        </w:rPr>
        <w:t>(BORGES, 2010)</w:t>
      </w:r>
      <w:r w:rsidR="00AD0101">
        <w:fldChar w:fldCharType="end"/>
      </w:r>
      <w:r>
        <w:t xml:space="preserve">, que vem </w:t>
      </w:r>
      <w:r w:rsidR="00A11EB6">
        <w:t xml:space="preserve">se apresentando </w:t>
      </w:r>
      <w:r>
        <w:t>grande aceitação para aplicações científicas. Visa-se a sua distribuição livre e gratuita para uso acadêmico.</w:t>
      </w:r>
    </w:p>
    <w:p w:rsidR="002151AB" w:rsidRDefault="002151AB" w:rsidP="002151AB">
      <w:r>
        <w:t xml:space="preserve">Os programas deverão ter interface gráfica intuitiva e amigável ao usuário, porém exigindo a sua interação com o menu de opções do programa, de modo a que o usuário não apenas aplique os métodos, mas também aprenda os conceitos e a teoria de cada método. Durante o seu desenvolvimento, os programas computacionais serão aplicados e testados em materiais já em estudo pelo Grupo de Cristalografia Aplicada à Ciência dos Materiais do IPEN, tais como ferritas </w:t>
      </w:r>
      <w:proofErr w:type="spellStart"/>
      <w:r>
        <w:t>nanoestruturadas</w:t>
      </w:r>
      <w:proofErr w:type="spellEnd"/>
      <w:r>
        <w:t xml:space="preserve"> com aplicações médicas e ambientais, fluoretos </w:t>
      </w:r>
      <w:proofErr w:type="spellStart"/>
      <w:r>
        <w:t>nanoestruturados</w:t>
      </w:r>
      <w:proofErr w:type="spellEnd"/>
      <w:r>
        <w:t xml:space="preserve"> com aplicações em dosimetria de altas doses de radiação, materiais magnéticos </w:t>
      </w:r>
      <w:proofErr w:type="spellStart"/>
      <w:r>
        <w:t>nanoestruturados</w:t>
      </w:r>
      <w:proofErr w:type="spellEnd"/>
      <w:r>
        <w:t xml:space="preserve">, ligas de zircônio utilizadas em reatores nucleares de potência, materiais padrão de referência para </w:t>
      </w:r>
      <w:proofErr w:type="spellStart"/>
      <w:r>
        <w:t>difratometria</w:t>
      </w:r>
      <w:proofErr w:type="spellEnd"/>
      <w:r>
        <w:t xml:space="preserve"> de raios X, ligas de urânio-silício e urânio-alumínio utilizadas em reatores de pesquisas como o IEA-R1m e, futuramente, o Reator </w:t>
      </w:r>
      <w:proofErr w:type="spellStart"/>
      <w:r>
        <w:t>Multipropósito</w:t>
      </w:r>
      <w:proofErr w:type="spellEnd"/>
      <w:r>
        <w:t xml:space="preserve"> Brasileiro (RMB), desenvolvimento de combustíveis nucleares avançados com venenos queimáveis e outros materiais cerâmicos avançados.</w:t>
      </w:r>
    </w:p>
    <w:p w:rsidR="002151AB" w:rsidRDefault="002151AB" w:rsidP="002151AB">
      <w:r>
        <w:t xml:space="preserve">O conjunto de programas deverá contemplar a utilização dos diversos métodos de análise de perfis de difração, como os métodos de </w:t>
      </w:r>
      <w:proofErr w:type="spellStart"/>
      <w:r>
        <w:t>Scherrer</w:t>
      </w:r>
      <w:proofErr w:type="spellEnd"/>
      <w:r>
        <w:t>, Williamson-Hall, Warren-Averbach e métodos de “Single-Line”</w:t>
      </w:r>
      <w:r w:rsidR="00AD0101">
        <w:fldChar w:fldCharType="begin" w:fldLock="1"/>
      </w:r>
      <w:r w:rsidR="00AF04B4">
        <w:instrText>ADDIN CSL_CITATION { "citationItems" : [ { "id" : "ITEM-1", "itemData" : { "abstract" : "A method to analyze powder-diffraction line broadening is proposed and applied to some novel high-T(c) superconductors. Assuming that both size-broadened and strain-broadened profiles of the pure-specimen profile are described with a Voigt function, it is shown that the analysis of Fourier coefficients leads to the Warren-Averbach method of separation of size and strain contributions. The analysis of size coefficients shows that the ''hook'' effect occurs when the Cauchy content of the size-broadened profile is underestimated. The ratio of volume-weighted and surface-weighted domain sizes can change from approximately 1.31 for the minimum allowed Cauchy content to 2 when the size-broadened profile is given solely by a Cauchy function. If the distortion coefficient is approximated by a harmonic term, mean-square strains decrease linearly with the increase of the averaging distance. The local strain is finite only in the case of pure-Gauss strain broadening because strains are then independent of averaging distance. Errors of root-mean-square strains as well as domain sizes were evaluated. The method was applied to two cubic structures with average volume-weighted domain sizes up to 3600 angstrom as well as to tetragonal and orthorhombic (La-Sr)2CuO4, which exhibit weak line broadenings and highly overlapping reflections. Comparison with the integral-breadth methods is given. Reliability of the method is discussed in the case of a cluster of the overlapping peaks. The analysis of La2CuO4 and La1.85M0.15CuO4(M=Ca, Ba, Sr) high-T(c) superconductors showed that microstrains and incoherently diffracting domain sizes are highly anisotropic. In the superconductors, stacking-fault probability increases with increasing T(c); microstrain decreases. In La2CuO4, different broadening of (h00) and (0k0) reflections is not caused by stacking faults; it might arise from lower crystallographic symmetry. The analysis of Bi-Cu-O superconductors showed much higher strains in the [001] direction than in the basal a-b plane. This may be caused by stacking disorder along the c-axis, because of the two-dimensional weakly bonded BiO double layers. Results for the specimen containing two related high-T(c) phases indicate a possible mechanism for the phase transformation by the growth of faulted regions of the major phase.", "author" : [ { "dropping-particle" : "", "family" : "Balzar", "given" : "D.", "non-dropping-particle" : "", "parse-names" : false, "suffix" : "" } ], "container-title" : "Journal of Research of the National Institute of Standards and Technology", "id" : "ITEM-1", "issue" : "3", "issued" : { "date-parts" : [ [ "1998" ] ] }, "page" : "321-353", "title" : "X-Ray Diffraction Line Broadening. Modeling and Applications to High-Tc Superconductor", "type" : "article-journal", "volume" : "98" }, "uris" : [ "http://www.mendeley.com/documents/?uuid=6f35174e-5034-4368-9069-0790497837f4" ] }, { "id" : "ITEM-2", "itemData" : { "DOI" : "10.1016/B0-08-043748-6/01115-4", "ISBN" : "978-0-08-043748-4", "author" : [ { "dropping-particle" : "", "family" : "Clegg", "given" : "W", "non-dropping-particle" : "", "parse-names" : false, "suffix" : "" } ], "container-title" : "Comprehensive Coordination Chemistry II", "id" : "ITEM-2", "issued" : { "date-parts" : [ [ "2005" ] ] }, "page" : "57-64", "title" : "X-ray Diffraction", "type" : "article-journal" }, "uris" : [ "http://www.mendeley.com/documents/?uuid=65f2740f-1093-4cfb-a452-f449276989d7" ] }, { "id" : "ITEM-3", "itemData" : { "DOI" : "10.1007/128_2011_251", "ISBN" : "9783642274060", "ISSN" : "03401022", "PMID" : "21952843", "abstract" : "Many important crystalline solids cannot be prepared as single crystals of suitable size and quality for structural characterization by conventional single-crystal X-ray diffraction techniques and can instead be prepared only as microcrystalline powders. However, recent advances in techniques for determining crystal structures directly from powder X-ray diffraction data have created a unique opportunity for establishing structural properties of such materials. This chapter surveys the applications of powder X-ray diffraction across various aspects of structural and materials chemistry, focusing mainly on the opportunities that have emerged in recent years for carrying out complete crystal structure determination from powder X-ray diffraction data and giving particular emphasis to the case of molecular crystal structures. The current scope and future potential of powder X-ray diffraction as a strategy for crystal structure determination are discussed, and examples of applications across several disciplines of materials chemistry are presented.", "author" : [ { "dropping-particle" : "", "family" : "D.", "given" : "Langford J. I. and Louer", "non-dropping-particle" : "", "parse-names" : false, "suffix" : "" } ], "container-title" : "Rep. Prog. Phys.", "id" : "ITEM-3", "issued" : { "date-parts" : [ [ "1996" ] ] }, "page" : "131-234", "title" : "Powder diffraction", "type" : "article-journal", "volume" : "59" }, "uris" : [ "http://www.mendeley.com/documents/?uuid=f69726f7-c400-4cf8-bf3b-d27fbec6d6c8" ] } ], "mendeley" : { "formattedCitation" : "(D., 1996; BALZAR, 1998; CLEGG, 2005)", "plainTextFormattedCitation" : "(D., 1996; BALZAR, 1998; CLEGG, 2005)", "previouslyFormattedCitation" : "(D., 1996; BALZAR, 1998; CLEGG, 2005)" }, "properties" : { "noteIndex" : 0 }, "schema" : "https://github.com/citation-style-language/schema/raw/master/csl-citation.json" }</w:instrText>
      </w:r>
      <w:r w:rsidR="00AD0101">
        <w:fldChar w:fldCharType="separate"/>
      </w:r>
      <w:r w:rsidR="00AF04B4" w:rsidRPr="00AF04B4">
        <w:rPr>
          <w:noProof/>
        </w:rPr>
        <w:t>(D., 1996; BALZAR, 1998; CLEGG, 2005)</w:t>
      </w:r>
      <w:r w:rsidR="00AD0101">
        <w:fldChar w:fldCharType="end"/>
      </w:r>
      <w:r>
        <w:t>, através de uma interface gráfica intuitiva com menus de opções e de ajuda que descrevam com detalhes os princípios dos métodos. Assim, além do desenvolvimento de uma ferramenta computacional, este projeto tem como objetivo que próprio conjunto de programas sirva como treinamento e instrutor do usuário para a aplicação dos métodos.</w:t>
      </w:r>
    </w:p>
    <w:p w:rsidR="002151AB" w:rsidRDefault="002151AB" w:rsidP="002151AB">
      <w:r>
        <w:t>Os programas deverão ser livres para a comunidade acadêmica, possibilitando a aplicação de melhorias em seus códigos, além de possibilitar a implementação de novos métodos ao serem desenvolvidos.</w:t>
      </w:r>
    </w:p>
    <w:p w:rsidR="004B3A89" w:rsidRDefault="004B3A89" w:rsidP="002151AB"/>
    <w:p w:rsidR="002151AB" w:rsidRPr="002151AB" w:rsidRDefault="002151AB" w:rsidP="002151AB">
      <w:pPr>
        <w:pStyle w:val="PargrafodaLista"/>
        <w:numPr>
          <w:ilvl w:val="0"/>
          <w:numId w:val="1"/>
        </w:numPr>
        <w:rPr>
          <w:b/>
        </w:rPr>
      </w:pPr>
      <w:r w:rsidRPr="002151AB">
        <w:rPr>
          <w:b/>
        </w:rPr>
        <w:t xml:space="preserve">Descrição atividades no período </w:t>
      </w:r>
    </w:p>
    <w:p w:rsidR="009A347E" w:rsidRDefault="009A347E" w:rsidP="009A347E">
      <w:pPr>
        <w:ind w:left="360"/>
      </w:pPr>
      <w:r>
        <w:t xml:space="preserve">Atualmente estão sendo </w:t>
      </w:r>
      <w:r w:rsidR="000F41C7">
        <w:t>feito</w:t>
      </w:r>
      <w:r>
        <w:t xml:space="preserve"> a</w:t>
      </w:r>
      <w:r w:rsidR="000F41C7">
        <w:t>s</w:t>
      </w:r>
      <w:r>
        <w:t xml:space="preserve"> análise</w:t>
      </w:r>
      <w:r w:rsidR="000F41C7">
        <w:t>s</w:t>
      </w:r>
      <w:r>
        <w:t xml:space="preserve"> de perfil</w:t>
      </w:r>
      <w:r w:rsidR="00F056D8">
        <w:t xml:space="preserve"> de difração dos materiais </w:t>
      </w:r>
      <w:proofErr w:type="spellStart"/>
      <w:r w:rsidR="00F056D8">
        <w:t>ZnO</w:t>
      </w:r>
      <w:proofErr w:type="spellEnd"/>
      <w:r w:rsidR="00F056D8">
        <w:t>,</w:t>
      </w:r>
      <w:r w:rsidRPr="009A347E">
        <w:t xml:space="preserve"> </w:t>
      </w:r>
      <w:proofErr w:type="spellStart"/>
      <w:r>
        <w:t>MnZnFeO</w:t>
      </w:r>
      <w:proofErr w:type="spellEnd"/>
      <w:r w:rsidR="00F056D8">
        <w:t xml:space="preserve"> e </w:t>
      </w:r>
      <w:r w:rsidR="00F056D8" w:rsidRPr="00F056D8">
        <w:rPr>
          <w:color w:val="000000"/>
          <w:szCs w:val="24"/>
          <w:shd w:val="clear" w:color="auto" w:fill="FFFFFF"/>
        </w:rPr>
        <w:t>CeO</w:t>
      </w:r>
      <w:r w:rsidR="00F056D8" w:rsidRPr="00F056D8">
        <w:rPr>
          <w:color w:val="000000"/>
          <w:szCs w:val="24"/>
          <w:shd w:val="clear" w:color="auto" w:fill="FFFFFF"/>
          <w:vertAlign w:val="subscript"/>
        </w:rPr>
        <w:t>2</w:t>
      </w:r>
      <w:r>
        <w:t xml:space="preserve">. Onde serão aplicados os métodos de análise de perfil de difração no espaço real: </w:t>
      </w:r>
      <w:proofErr w:type="spellStart"/>
      <w:r>
        <w:t>Scherrer</w:t>
      </w:r>
      <w:proofErr w:type="spellEnd"/>
      <w:r>
        <w:t xml:space="preserve"> e Single-Line; e no espaço de Fourier: Warren-Averbach.</w:t>
      </w:r>
    </w:p>
    <w:p w:rsidR="00B75AA3" w:rsidRDefault="0047702A" w:rsidP="0047702A">
      <w:pPr>
        <w:keepNext/>
        <w:ind w:left="360"/>
        <w:jc w:val="center"/>
      </w:pPr>
      <w:r>
        <w:rPr>
          <w:noProof/>
          <w:lang w:eastAsia="pt-BR"/>
        </w:rPr>
        <w:drawing>
          <wp:inline distT="0" distB="0" distL="0" distR="0" wp14:anchorId="64571C0E" wp14:editId="7CDC3553">
            <wp:extent cx="4810125" cy="26856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9111" cy="2690632"/>
                    </a:xfrm>
                    <a:prstGeom prst="rect">
                      <a:avLst/>
                    </a:prstGeom>
                  </pic:spPr>
                </pic:pic>
              </a:graphicData>
            </a:graphic>
          </wp:inline>
        </w:drawing>
      </w:r>
    </w:p>
    <w:p w:rsidR="00B75AA3" w:rsidRDefault="00B75AA3"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1</w:t>
      </w:r>
      <w:r w:rsidR="00AF04B4">
        <w:rPr>
          <w:noProof/>
        </w:rPr>
        <w:fldChar w:fldCharType="end"/>
      </w:r>
      <w:r>
        <w:t xml:space="preserve"> Perfil de difração da amostra de </w:t>
      </w:r>
      <w:proofErr w:type="spellStart"/>
      <w:r>
        <w:t>ZnO</w:t>
      </w:r>
      <w:proofErr w:type="spellEnd"/>
    </w:p>
    <w:p w:rsidR="00B75AA3" w:rsidRDefault="00587E8D" w:rsidP="00B75AA3">
      <w:pPr>
        <w:keepNext/>
        <w:ind w:left="360"/>
      </w:pPr>
      <w:r>
        <w:t xml:space="preserve"> </w:t>
      </w:r>
      <w:r w:rsidR="0047702A">
        <w:rPr>
          <w:noProof/>
          <w:lang w:eastAsia="pt-BR"/>
        </w:rPr>
        <w:drawing>
          <wp:inline distT="0" distB="0" distL="0" distR="0" wp14:anchorId="26F6B51A" wp14:editId="618E7B56">
            <wp:extent cx="5502399" cy="307213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4755" cy="3073445"/>
                    </a:xfrm>
                    <a:prstGeom prst="rect">
                      <a:avLst/>
                    </a:prstGeom>
                  </pic:spPr>
                </pic:pic>
              </a:graphicData>
            </a:graphic>
          </wp:inline>
        </w:drawing>
      </w:r>
    </w:p>
    <w:p w:rsidR="00B75AA3" w:rsidRDefault="00B75AA3"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2</w:t>
      </w:r>
      <w:r w:rsidR="00AF04B4">
        <w:rPr>
          <w:noProof/>
        </w:rPr>
        <w:fldChar w:fldCharType="end"/>
      </w:r>
      <w:r>
        <w:t xml:space="preserve"> Perfil de difração do </w:t>
      </w:r>
      <w:proofErr w:type="spellStart"/>
      <w:r>
        <w:t>MnZnFeO</w:t>
      </w:r>
      <w:proofErr w:type="spellEnd"/>
    </w:p>
    <w:p w:rsidR="00F056D8" w:rsidRDefault="00F056D8" w:rsidP="00F056D8"/>
    <w:p w:rsidR="00F056D8" w:rsidRDefault="00F056D8" w:rsidP="00F056D8">
      <w:pPr>
        <w:keepNext/>
      </w:pPr>
      <w:r>
        <w:rPr>
          <w:noProof/>
          <w:lang w:eastAsia="pt-BR"/>
        </w:rPr>
        <w:lastRenderedPageBreak/>
        <w:drawing>
          <wp:inline distT="0" distB="0" distL="0" distR="0" wp14:anchorId="321E8ABA" wp14:editId="58BCDE68">
            <wp:extent cx="4924425" cy="2744477"/>
            <wp:effectExtent l="0" t="0" r="0" b="0"/>
            <wp:docPr id="7" name="Imagem 7" descr="C:\Users\lgallego\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allego\Desktop\dd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4425" cy="2744477"/>
                    </a:xfrm>
                    <a:prstGeom prst="rect">
                      <a:avLst/>
                    </a:prstGeom>
                    <a:noFill/>
                    <a:ln>
                      <a:noFill/>
                    </a:ln>
                  </pic:spPr>
                </pic:pic>
              </a:graphicData>
            </a:graphic>
          </wp:inline>
        </w:drawing>
      </w:r>
    </w:p>
    <w:p w:rsidR="00F056D8" w:rsidRPr="00F056D8" w:rsidRDefault="00F056D8"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3</w:t>
      </w:r>
      <w:r w:rsidR="00AF04B4">
        <w:rPr>
          <w:noProof/>
        </w:rPr>
        <w:fldChar w:fldCharType="end"/>
      </w:r>
      <w:r>
        <w:t xml:space="preserve"> Amostra de </w:t>
      </w:r>
      <w:r w:rsidRPr="00D853A1">
        <w:t>CeO2</w:t>
      </w:r>
    </w:p>
    <w:p w:rsidR="009A347E" w:rsidRDefault="000F41C7" w:rsidP="009A347E">
      <w:pPr>
        <w:ind w:left="360"/>
      </w:pPr>
      <w:r>
        <w:t>Abaixo tem-se o fluxograma para a análise do perfil de difração no espaço real e de Fourier, onde se é necessário a utilização de uma amostra padrão.</w:t>
      </w:r>
    </w:p>
    <w:p w:rsidR="000F41C7" w:rsidRDefault="000F41C7" w:rsidP="009A347E">
      <w:pPr>
        <w:ind w:left="360"/>
      </w:pPr>
    </w:p>
    <w:p w:rsidR="000F41C7" w:rsidRDefault="00277539" w:rsidP="000F41C7">
      <w:pPr>
        <w:keepNext/>
        <w:ind w:left="360"/>
      </w:pPr>
      <w:r>
        <w:rPr>
          <w:noProof/>
          <w:lang w:eastAsia="pt-BR"/>
        </w:rPr>
        <w:drawing>
          <wp:inline distT="0" distB="0" distL="0" distR="0" wp14:anchorId="3594CB00" wp14:editId="283C8C7A">
            <wp:extent cx="5400040" cy="325488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54880"/>
                    </a:xfrm>
                    <a:prstGeom prst="rect">
                      <a:avLst/>
                    </a:prstGeom>
                    <a:noFill/>
                  </pic:spPr>
                </pic:pic>
              </a:graphicData>
            </a:graphic>
          </wp:inline>
        </w:drawing>
      </w:r>
    </w:p>
    <w:p w:rsidR="00587E8D" w:rsidRDefault="000F41C7"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4</w:t>
      </w:r>
      <w:r w:rsidR="00AF04B4">
        <w:rPr>
          <w:noProof/>
        </w:rPr>
        <w:fldChar w:fldCharType="end"/>
      </w:r>
      <w:r>
        <w:t xml:space="preserve"> Fluxograma espaço real</w:t>
      </w:r>
    </w:p>
    <w:p w:rsidR="00F056D8" w:rsidRPr="00F056D8" w:rsidRDefault="00277539" w:rsidP="00F056D8">
      <w:r>
        <w:rPr>
          <w:noProof/>
          <w:lang w:eastAsia="pt-BR"/>
        </w:rPr>
        <w:lastRenderedPageBreak/>
        <w:drawing>
          <wp:inline distT="0" distB="0" distL="0" distR="0" wp14:anchorId="7EDCED9D">
            <wp:extent cx="5401310" cy="3255645"/>
            <wp:effectExtent l="0" t="0" r="889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255645"/>
                    </a:xfrm>
                    <a:prstGeom prst="rect">
                      <a:avLst/>
                    </a:prstGeom>
                    <a:noFill/>
                  </pic:spPr>
                </pic:pic>
              </a:graphicData>
            </a:graphic>
          </wp:inline>
        </w:drawing>
      </w:r>
    </w:p>
    <w:p w:rsidR="00587E8D" w:rsidRDefault="000F41C7"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5</w:t>
      </w:r>
      <w:r w:rsidR="00AF04B4">
        <w:rPr>
          <w:noProof/>
        </w:rPr>
        <w:fldChar w:fldCharType="end"/>
      </w:r>
      <w:r>
        <w:t xml:space="preserve"> Fluxograma espaço de Fourier</w:t>
      </w:r>
    </w:p>
    <w:p w:rsidR="000F41C7" w:rsidRDefault="000F41C7" w:rsidP="000F41C7"/>
    <w:p w:rsidR="00574A3D" w:rsidRDefault="00F056D8" w:rsidP="000F41C7">
      <w:r>
        <w:t xml:space="preserve">A suavização, remoção do background, Lorentz-polarização </w:t>
      </w:r>
      <w:r w:rsidR="00CD7280">
        <w:t xml:space="preserve">já </w:t>
      </w:r>
      <w:r>
        <w:t>estão</w:t>
      </w:r>
      <w:r w:rsidR="00CD7280">
        <w:t xml:space="preserve"> </w:t>
      </w:r>
      <w:r>
        <w:t>implementados</w:t>
      </w:r>
      <w:r w:rsidR="00CD7280">
        <w:t>,</w:t>
      </w:r>
      <w:r w:rsidR="00CD7280" w:rsidRPr="00CD7280">
        <w:t xml:space="preserve"> </w:t>
      </w:r>
      <w:r>
        <w:t xml:space="preserve">o </w:t>
      </w:r>
      <w:r w:rsidR="00CD7280">
        <w:t xml:space="preserve">dubleto k-alpha </w:t>
      </w:r>
      <w:r>
        <w:t>ainda não foi implementado.</w:t>
      </w:r>
    </w:p>
    <w:p w:rsidR="000F41C7" w:rsidRPr="00603CA5" w:rsidRDefault="000F41C7" w:rsidP="00E36CA2">
      <w:pPr>
        <w:pStyle w:val="Ttulo1"/>
      </w:pPr>
      <w:r w:rsidRPr="00603CA5">
        <w:t>SINGLE-LINE METHOD</w:t>
      </w:r>
    </w:p>
    <w:p w:rsidR="000F41C7" w:rsidRDefault="000F41C7" w:rsidP="000F41C7"/>
    <w:p w:rsidR="000F41C7" w:rsidRDefault="000F41C7" w:rsidP="000F41C7">
      <w:r>
        <w:t>A análise da microestrutura do material pelos métodos de análise de perfil de difração é uma poderosa técnica de medida indireta.</w:t>
      </w:r>
    </w:p>
    <w:p w:rsidR="000F41C7" w:rsidRDefault="000F41C7" w:rsidP="000F41C7">
      <w:r>
        <w:t>O método da Single-Line</w:t>
      </w:r>
      <w:r w:rsidR="00277539">
        <w:t xml:space="preserve"> (SL)</w:t>
      </w:r>
      <w:r>
        <w:t xml:space="preserve"> </w:t>
      </w:r>
      <w:r w:rsidR="00C67E5F">
        <w:fldChar w:fldCharType="begin" w:fldLock="1"/>
      </w:r>
      <w:r w:rsidR="00AF04B4">
        <w:instrText>ADDIN CSL_CITATION { "citationItems" : [ { "id" : "ITEM-1", "itemData" : { "DOI" : "10.1107/S0021889882012035", "ISBN" : "0021-8898", "ISSN" : "0021-8898", "abstract" : "The use of the Voigt function for the analysis of the integral breadths of broadened X-ray diffraction line profiles forms the basis of a rapid and powerful single-line method of crystallite-size and strain determination which is easy to apply. To avoid graphical methods or interpolation from tables, empirical formulae of high accuracy are used and an estimation of errors is presented, including the influence of line-profile asymmetry. The method is applied to four practical cases of size-strain broadening: (i) cold-worked nickel, (ii) a nitrided steel, (iii) and electrodeposited nickel layer and (iv) a liquid-quenched AlSi alloy", "author" : [ { "dropping-particle" : "", "family" : "Keijser", "given" : "T H", "non-dropping-particle" : "de", "parse-names" : false, "suffix" : "" }, { "dropping-particle" : "", "family" : "Langford", "given" : "J I", "non-dropping-particle" : "", "parse-names" : false, "suffix" : "" }, { "dropping-particle" : "", "family" : "Mittemeijer", "given" : "E J", "non-dropping-particle" : "", "parse-names" : false, "suffix" : "" }, { "dropping-particle" : "", "family" : "Vogels", "given" : "A B P", "non-dropping-particle" : "", "parse-names" : false, "suffix" : "" } ], "container-title" : "Journal of Applied Crystallography", "id" : "ITEM-1", "issue" : "Copyright 1982, IEE", "issued" : { "date-parts" : [ [ "1982" ] ] }, "page" : "308-314", "title" : "Use of the Voigt function in a single-line method for the analysis of X-ray diffraction line broadening", "type" : "article-journal", "volume" : "15" }, "uris" : [ "http://www.mendeley.com/documents/?uuid=bb8328b5-ec16-4be1-ac91-5979144ecfca" ] } ], "mendeley" : { "formattedCitation" : "(DE KEIJSER et al., 1982)", "plainTextFormattedCitation" : "(DE KEIJSER et al., 1982)", "previouslyFormattedCitation" : "(DE KEIJSER et al., 1982)" }, "properties" : { "noteIndex" : 0 }, "schema" : "https://github.com/citation-style-language/schema/raw/master/csl-citation.json" }</w:instrText>
      </w:r>
      <w:r w:rsidR="00C67E5F">
        <w:fldChar w:fldCharType="separate"/>
      </w:r>
      <w:r w:rsidR="00AF04B4" w:rsidRPr="00AF04B4">
        <w:rPr>
          <w:noProof/>
        </w:rPr>
        <w:t>(DE KEIJSER et al., 1982)</w:t>
      </w:r>
      <w:r w:rsidR="00C67E5F">
        <w:fldChar w:fldCharType="end"/>
      </w:r>
      <w:r>
        <w:t>considera que o alargamento do perfil de difração, depende de uma parte Gaussiana (G) e outra Lorentiziana(L), e a componente G é devido à microtensão e a componente L devido ao tamanho de cristalito.</w:t>
      </w:r>
    </w:p>
    <w:p w:rsidR="000F41C7" w:rsidRDefault="000F41C7" w:rsidP="000F41C7">
      <w:r w:rsidRPr="00D90044">
        <w:t>λ</w:t>
      </w:r>
      <w:r>
        <w:t xml:space="preserve"> o comprimento de onda</w:t>
      </w:r>
    </w:p>
    <w:p w:rsidR="000F41C7" w:rsidRDefault="000F41C7" w:rsidP="000F41C7">
      <w:r w:rsidRPr="00D90044">
        <w:t>θ</w:t>
      </w:r>
      <w:r>
        <w:t xml:space="preserve"> o ângulo de intensidade máxima do pico</w:t>
      </w:r>
    </w:p>
    <w:p w:rsidR="000F41C7" w:rsidRPr="004B3A89" w:rsidRDefault="00AF04B4" w:rsidP="000F41C7">
      <w:pPr>
        <w:rPr>
          <w:rFonts w:eastAsiaTheme="minorEastAsia"/>
          <w:sz w:val="32"/>
        </w:rPr>
      </w:pPr>
      <m:oMathPara>
        <m:oMath>
          <m:sSub>
            <m:sSubPr>
              <m:ctrlPr>
                <w:rPr>
                  <w:rFonts w:ascii="Cambria Math" w:hAnsi="Cambria Math"/>
                  <w:i/>
                  <w:sz w:val="32"/>
                </w:rPr>
              </m:ctrlPr>
            </m:sSubPr>
            <m:e>
              <m:r>
                <w:rPr>
                  <w:rFonts w:ascii="Cambria Math" w:hAnsi="Cambria Math"/>
                  <w:sz w:val="32"/>
                </w:rPr>
                <m:t>β</m:t>
              </m:r>
            </m:e>
            <m:sub>
              <m:r>
                <w:rPr>
                  <w:rFonts w:ascii="Cambria Math" w:hAnsi="Cambria Math"/>
                  <w:sz w:val="32"/>
                </w:rPr>
                <m:t>L</m:t>
              </m:r>
            </m:sub>
          </m:sSub>
          <m:r>
            <w:rPr>
              <w:rFonts w:ascii="Cambria Math" w:hAnsi="Cambria Math"/>
              <w:sz w:val="32"/>
            </w:rPr>
            <m:t>=</m:t>
          </m:r>
          <m:f>
            <m:fPr>
              <m:ctrlPr>
                <w:rPr>
                  <w:rFonts w:ascii="Cambria Math" w:hAnsi="Cambria Math"/>
                  <w:i/>
                  <w:sz w:val="32"/>
                </w:rPr>
              </m:ctrlPr>
            </m:fPr>
            <m:num>
              <m:r>
                <w:rPr>
                  <w:rFonts w:ascii="Cambria Math" w:hAnsi="Cambria Math"/>
                  <w:sz w:val="32"/>
                </w:rPr>
                <m:t>λ</m:t>
              </m:r>
            </m:num>
            <m:den>
              <m:r>
                <w:rPr>
                  <w:rFonts w:ascii="Cambria Math" w:hAnsi="Cambria Math"/>
                  <w:sz w:val="32"/>
                </w:rPr>
                <m:t>D</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θ</m:t>
                  </m:r>
                </m:e>
              </m:func>
            </m:den>
          </m:f>
        </m:oMath>
      </m:oMathPara>
    </w:p>
    <w:p w:rsidR="000F41C7" w:rsidRDefault="000F41C7" w:rsidP="000F41C7">
      <w:pPr>
        <w:rPr>
          <w:rFonts w:eastAsiaTheme="minorEastAsia"/>
        </w:rPr>
      </w:pPr>
      <w:r>
        <w:rPr>
          <w:rFonts w:eastAsiaTheme="minorEastAsia" w:cs="Arial"/>
        </w:rPr>
        <w:t>β</w:t>
      </w:r>
      <w:r w:rsidRPr="00D90044">
        <w:rPr>
          <w:rFonts w:eastAsiaTheme="minorEastAsia"/>
          <w:vertAlign w:val="subscript"/>
        </w:rPr>
        <w:t>L</w:t>
      </w:r>
      <w:r>
        <w:rPr>
          <w:rFonts w:eastAsiaTheme="minorEastAsia"/>
          <w:vertAlign w:val="subscript"/>
        </w:rPr>
        <w:t xml:space="preserve"> </w:t>
      </w:r>
      <w:r>
        <w:rPr>
          <w:rFonts w:eastAsiaTheme="minorEastAsia"/>
        </w:rPr>
        <w:t>sendo a largura integrada do perfil L</w:t>
      </w:r>
    </w:p>
    <w:p w:rsidR="000F41C7" w:rsidRDefault="000F41C7" w:rsidP="000F41C7">
      <w:pPr>
        <w:rPr>
          <w:rFonts w:eastAsiaTheme="minorEastAsia"/>
        </w:rPr>
      </w:pPr>
      <w:r>
        <w:rPr>
          <w:rFonts w:eastAsiaTheme="minorEastAsia"/>
        </w:rPr>
        <w:t>D o tamanho de cristalito</w:t>
      </w:r>
    </w:p>
    <w:p w:rsidR="000F41C7" w:rsidRPr="004B3A89" w:rsidRDefault="00AF04B4" w:rsidP="000F41C7">
      <w:pPr>
        <w:rPr>
          <w:rFonts w:eastAsiaTheme="minorEastAsia"/>
          <w:sz w:val="32"/>
        </w:rPr>
      </w:pPr>
      <m:oMathPara>
        <m:oMath>
          <m:sSub>
            <m:sSubPr>
              <m:ctrlPr>
                <w:rPr>
                  <w:rFonts w:ascii="Cambria Math" w:hAnsi="Cambria Math"/>
                  <w:i/>
                  <w:sz w:val="32"/>
                </w:rPr>
              </m:ctrlPr>
            </m:sSubPr>
            <m:e>
              <m:r>
                <w:rPr>
                  <w:rFonts w:ascii="Cambria Math" w:hAnsi="Cambria Math"/>
                  <w:sz w:val="32"/>
                </w:rPr>
                <m:t>β</m:t>
              </m:r>
            </m:e>
            <m:sub>
              <m:r>
                <w:rPr>
                  <w:rFonts w:ascii="Cambria Math" w:hAnsi="Cambria Math"/>
                  <w:sz w:val="32"/>
                </w:rPr>
                <m:t>G</m:t>
              </m:r>
            </m:sub>
          </m:sSub>
          <m:r>
            <w:rPr>
              <w:rFonts w:ascii="Cambria Math" w:hAnsi="Cambria Math"/>
              <w:sz w:val="32"/>
            </w:rPr>
            <m:t>=4ε</m:t>
          </m:r>
          <m:func>
            <m:funcPr>
              <m:ctrlPr>
                <w:rPr>
                  <w:rFonts w:ascii="Cambria Math" w:hAnsi="Cambria Math"/>
                  <w:i/>
                  <w:sz w:val="32"/>
                </w:rPr>
              </m:ctrlPr>
            </m:funcPr>
            <m:fName>
              <m:r>
                <m:rPr>
                  <m:sty m:val="p"/>
                </m:rPr>
                <w:rPr>
                  <w:rFonts w:ascii="Cambria Math" w:hAnsi="Cambria Math"/>
                  <w:sz w:val="32"/>
                </w:rPr>
                <m:t>tan</m:t>
              </m:r>
            </m:fName>
            <m:e>
              <m:r>
                <w:rPr>
                  <w:rFonts w:ascii="Cambria Math" w:hAnsi="Cambria Math"/>
                  <w:sz w:val="32"/>
                </w:rPr>
                <m:t>θ</m:t>
              </m:r>
            </m:e>
          </m:func>
        </m:oMath>
      </m:oMathPara>
    </w:p>
    <w:p w:rsidR="000F41C7" w:rsidRDefault="000F41C7" w:rsidP="000F41C7">
      <w:pPr>
        <w:rPr>
          <w:rFonts w:eastAsiaTheme="minorEastAsia"/>
        </w:rPr>
      </w:pPr>
      <w:r>
        <w:rPr>
          <w:rFonts w:eastAsiaTheme="minorEastAsia" w:cs="Arial"/>
        </w:rPr>
        <w:t>β</w:t>
      </w:r>
      <w:r w:rsidRPr="00D90044">
        <w:rPr>
          <w:rFonts w:eastAsiaTheme="minorEastAsia"/>
          <w:vertAlign w:val="subscript"/>
        </w:rPr>
        <w:t>G</w:t>
      </w:r>
      <w:r>
        <w:rPr>
          <w:rFonts w:eastAsiaTheme="minorEastAsia"/>
        </w:rPr>
        <w:t xml:space="preserve"> sendo a largura integrada do perfil G</w:t>
      </w:r>
    </w:p>
    <w:p w:rsidR="000F41C7" w:rsidRDefault="000F41C7" w:rsidP="000F41C7">
      <w:r w:rsidRPr="00D90044">
        <w:lastRenderedPageBreak/>
        <w:t>ε</w:t>
      </w:r>
      <w:r>
        <w:t xml:space="preserve"> a microtensão</w:t>
      </w:r>
    </w:p>
    <w:p w:rsidR="000F41C7" w:rsidRDefault="000F41C7" w:rsidP="000F41C7">
      <w:r>
        <w:t>A função para encontrar os dois parâmetros é chamada de função Voight. Onde é a soma da função L e G.</w:t>
      </w:r>
    </w:p>
    <w:p w:rsidR="000F41C7" w:rsidRPr="004B3A89" w:rsidRDefault="000F41C7" w:rsidP="000F41C7">
      <w:pPr>
        <w:rPr>
          <w:rFonts w:eastAsiaTheme="minorEastAsia"/>
          <w:sz w:val="32"/>
        </w:rPr>
      </w:pPr>
      <m:oMathPara>
        <m:oMath>
          <m:r>
            <w:rPr>
              <w:rFonts w:ascii="Cambria Math" w:hAnsi="Cambria Math"/>
              <w:sz w:val="32"/>
            </w:rPr>
            <m:t>f</m:t>
          </m:r>
          <m:d>
            <m:dPr>
              <m:ctrlPr>
                <w:rPr>
                  <w:rFonts w:ascii="Cambria Math" w:hAnsi="Cambria Math"/>
                  <w:i/>
                  <w:sz w:val="32"/>
                </w:rPr>
              </m:ctrlPr>
            </m:dPr>
            <m:e>
              <m:r>
                <w:rPr>
                  <w:rFonts w:ascii="Cambria Math" w:hAnsi="Cambria Math"/>
                  <w:sz w:val="32"/>
                </w:rPr>
                <m:t>x;A,μ,σ,α</m:t>
              </m:r>
            </m:e>
          </m:d>
          <m:r>
            <w:rPr>
              <w:rFonts w:ascii="Cambria Math" w:hAnsi="Cambria Math"/>
              <w:sz w:val="32"/>
            </w:rPr>
            <m:t>=</m:t>
          </m:r>
          <m:f>
            <m:fPr>
              <m:ctrlPr>
                <w:rPr>
                  <w:rFonts w:ascii="Cambria Math" w:hAnsi="Cambria Math"/>
                  <w:i/>
                  <w:sz w:val="32"/>
                </w:rPr>
              </m:ctrlPr>
            </m:fPr>
            <m:num>
              <m:d>
                <m:dPr>
                  <m:ctrlPr>
                    <w:rPr>
                      <w:rFonts w:ascii="Cambria Math" w:hAnsi="Cambria Math"/>
                      <w:i/>
                      <w:sz w:val="32"/>
                    </w:rPr>
                  </m:ctrlPr>
                </m:dPr>
                <m:e>
                  <m:r>
                    <w:rPr>
                      <w:rFonts w:ascii="Cambria Math" w:hAnsi="Cambria Math"/>
                      <w:sz w:val="32"/>
                    </w:rPr>
                    <m:t>1-α</m:t>
                  </m:r>
                </m:e>
              </m:d>
            </m:num>
            <m:den>
              <m:sSub>
                <m:sSubPr>
                  <m:ctrlPr>
                    <w:rPr>
                      <w:rFonts w:ascii="Cambria Math" w:hAnsi="Cambria Math"/>
                      <w:i/>
                      <w:sz w:val="32"/>
                    </w:rPr>
                  </m:ctrlPr>
                </m:sSubPr>
                <m:e>
                  <m:r>
                    <w:rPr>
                      <w:rFonts w:ascii="Cambria Math" w:hAnsi="Cambria Math"/>
                      <w:sz w:val="32"/>
                    </w:rPr>
                    <m:t>σ</m:t>
                  </m:r>
                </m:e>
                <m:sub>
                  <m:r>
                    <w:rPr>
                      <w:rFonts w:ascii="Cambria Math" w:hAnsi="Cambria Math"/>
                      <w:sz w:val="32"/>
                    </w:rPr>
                    <m:t>g</m:t>
                  </m:r>
                </m:sub>
              </m:sSub>
              <m:rad>
                <m:radPr>
                  <m:degHide m:val="1"/>
                  <m:ctrlPr>
                    <w:rPr>
                      <w:rFonts w:ascii="Cambria Math" w:hAnsi="Cambria Math"/>
                      <w:i/>
                      <w:sz w:val="32"/>
                    </w:rPr>
                  </m:ctrlPr>
                </m:radPr>
                <m:deg/>
                <m:e>
                  <m:r>
                    <w:rPr>
                      <w:rFonts w:ascii="Cambria Math" w:hAnsi="Cambria Math"/>
                      <w:sz w:val="32"/>
                    </w:rPr>
                    <m:t>2π</m:t>
                  </m:r>
                </m:e>
              </m:rad>
            </m:den>
          </m:f>
          <m:sSup>
            <m:sSupPr>
              <m:ctrlPr>
                <w:rPr>
                  <w:rFonts w:ascii="Cambria Math" w:hAnsi="Cambria Math"/>
                  <w:i/>
                  <w:sz w:val="32"/>
                </w:rPr>
              </m:ctrlPr>
            </m:sSupPr>
            <m:e>
              <m:r>
                <w:rPr>
                  <w:rFonts w:ascii="Cambria Math" w:hAnsi="Cambria Math"/>
                  <w:sz w:val="32"/>
                </w:rPr>
                <m:t>℮</m:t>
              </m:r>
            </m:e>
            <m:sup>
              <m:d>
                <m:dPr>
                  <m:begChr m:val="["/>
                  <m:endChr m:val="]"/>
                  <m:ctrlPr>
                    <w:rPr>
                      <w:rFonts w:ascii="Cambria Math" w:hAnsi="Cambria Math"/>
                      <w:i/>
                      <w:sz w:val="32"/>
                    </w:rPr>
                  </m:ctrlPr>
                </m:dPr>
                <m:e>
                  <m:r>
                    <w:rPr>
                      <w:rFonts w:ascii="Cambria Math" w:hAnsi="Cambria Math"/>
                      <w:sz w:val="32"/>
                    </w:rPr>
                    <m:t>-</m:t>
                  </m:r>
                  <m:d>
                    <m:dPr>
                      <m:ctrlPr>
                        <w:rPr>
                          <w:rFonts w:ascii="Cambria Math" w:hAnsi="Cambria Math"/>
                          <w:i/>
                          <w:sz w:val="32"/>
                        </w:rPr>
                      </m:ctrlPr>
                    </m:dPr>
                    <m:e>
                      <m:r>
                        <w:rPr>
                          <w:rFonts w:ascii="Cambria Math" w:hAnsi="Cambria Math"/>
                          <w:sz w:val="32"/>
                        </w:rPr>
                        <m:t>x-μ</m:t>
                      </m:r>
                    </m:e>
                  </m:d>
                  <m:r>
                    <w:rPr>
                      <w:rFonts w:ascii="Cambria Math" w:hAnsi="Cambria Math"/>
                      <w:sz w:val="32"/>
                    </w:rPr>
                    <m:t>²/2</m:t>
                  </m:r>
                  <m:sSup>
                    <m:sSupPr>
                      <m:ctrlPr>
                        <w:rPr>
                          <w:rFonts w:ascii="Cambria Math" w:hAnsi="Cambria Math"/>
                          <w:i/>
                          <w:sz w:val="32"/>
                        </w:rPr>
                      </m:ctrlPr>
                    </m:sSupPr>
                    <m:e>
                      <m:sSub>
                        <m:sSubPr>
                          <m:ctrlPr>
                            <w:rPr>
                              <w:rFonts w:ascii="Cambria Math" w:hAnsi="Cambria Math"/>
                              <w:i/>
                              <w:sz w:val="32"/>
                            </w:rPr>
                          </m:ctrlPr>
                        </m:sSubPr>
                        <m:e>
                          <m:r>
                            <w:rPr>
                              <w:rFonts w:ascii="Cambria Math" w:hAnsi="Cambria Math"/>
                              <w:sz w:val="32"/>
                            </w:rPr>
                            <m:t>σ</m:t>
                          </m:r>
                        </m:e>
                        <m:sub>
                          <m:r>
                            <w:rPr>
                              <w:rFonts w:ascii="Cambria Math" w:hAnsi="Cambria Math"/>
                              <w:sz w:val="32"/>
                            </w:rPr>
                            <m:t>g</m:t>
                          </m:r>
                        </m:sub>
                      </m:sSub>
                    </m:e>
                    <m:sup>
                      <m:r>
                        <w:rPr>
                          <w:rFonts w:ascii="Cambria Math" w:hAnsi="Cambria Math"/>
                          <w:sz w:val="32"/>
                        </w:rPr>
                        <m:t>2</m:t>
                      </m:r>
                    </m:sup>
                  </m:sSup>
                </m:e>
              </m:d>
            </m:sup>
          </m:sSup>
          <m:r>
            <w:rPr>
              <w:rFonts w:ascii="Cambria Math" w:hAnsi="Cambria Math"/>
              <w:sz w:val="32"/>
            </w:rPr>
            <m:t>+</m:t>
          </m:r>
          <m:f>
            <m:fPr>
              <m:ctrlPr>
                <w:rPr>
                  <w:rFonts w:ascii="Cambria Math" w:hAnsi="Cambria Math"/>
                  <w:i/>
                  <w:sz w:val="32"/>
                </w:rPr>
              </m:ctrlPr>
            </m:fPr>
            <m:num>
              <m:r>
                <w:rPr>
                  <w:rFonts w:ascii="Cambria Math" w:hAnsi="Cambria Math"/>
                  <w:sz w:val="32"/>
                </w:rPr>
                <m:t>αA</m:t>
              </m:r>
            </m:num>
            <m:den>
              <m:r>
                <w:rPr>
                  <w:rFonts w:ascii="Cambria Math" w:hAnsi="Cambria Math"/>
                  <w:sz w:val="32"/>
                </w:rPr>
                <m:t>π</m:t>
              </m:r>
            </m:den>
          </m:f>
          <m:d>
            <m:dPr>
              <m:begChr m:val="["/>
              <m:endChr m:val="]"/>
              <m:ctrlPr>
                <w:rPr>
                  <w:rFonts w:ascii="Cambria Math" w:hAnsi="Cambria Math"/>
                  <w:i/>
                  <w:sz w:val="32"/>
                </w:rPr>
              </m:ctrlPr>
            </m:dPr>
            <m:e>
              <m:f>
                <m:fPr>
                  <m:ctrlPr>
                    <w:rPr>
                      <w:rFonts w:ascii="Cambria Math" w:hAnsi="Cambria Math"/>
                      <w:i/>
                      <w:sz w:val="32"/>
                    </w:rPr>
                  </m:ctrlPr>
                </m:fPr>
                <m:num>
                  <m:r>
                    <w:rPr>
                      <w:rFonts w:ascii="Cambria Math" w:hAnsi="Cambria Math"/>
                      <w:sz w:val="32"/>
                    </w:rPr>
                    <m:t>σ</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x-μ</m:t>
                          </m:r>
                        </m:e>
                      </m:d>
                    </m:e>
                    <m:sup>
                      <m:r>
                        <w:rPr>
                          <w:rFonts w:ascii="Cambria Math" w:hAnsi="Cambria Math"/>
                          <w:sz w:val="32"/>
                        </w:rPr>
                        <m:t>2</m:t>
                      </m:r>
                    </m:sup>
                  </m:sSup>
                  <m:r>
                    <w:rPr>
                      <w:rFonts w:ascii="Cambria Math" w:hAnsi="Cambria Math"/>
                      <w:sz w:val="32"/>
                    </w:rPr>
                    <m:t>+</m:t>
                  </m:r>
                  <m:sSup>
                    <m:sSupPr>
                      <m:ctrlPr>
                        <w:rPr>
                          <w:rFonts w:ascii="Cambria Math" w:hAnsi="Cambria Math"/>
                          <w:i/>
                          <w:sz w:val="32"/>
                        </w:rPr>
                      </m:ctrlPr>
                    </m:sSupPr>
                    <m:e>
                      <m:r>
                        <w:rPr>
                          <w:rFonts w:ascii="Cambria Math" w:hAnsi="Cambria Math"/>
                          <w:sz w:val="32"/>
                        </w:rPr>
                        <m:t>σ</m:t>
                      </m:r>
                    </m:e>
                    <m:sup>
                      <m:r>
                        <w:rPr>
                          <w:rFonts w:ascii="Cambria Math" w:hAnsi="Cambria Math"/>
                          <w:sz w:val="32"/>
                        </w:rPr>
                        <m:t>2</m:t>
                      </m:r>
                    </m:sup>
                  </m:sSup>
                </m:den>
              </m:f>
            </m:e>
          </m:d>
        </m:oMath>
      </m:oMathPara>
    </w:p>
    <w:p w:rsidR="000F41C7" w:rsidRPr="004B3A89" w:rsidRDefault="00AF04B4" w:rsidP="000F41C7">
      <w:pPr>
        <w:rPr>
          <w:rFonts w:eastAsiaTheme="minorEastAsia"/>
          <w:sz w:val="32"/>
        </w:rPr>
      </w:pPr>
      <m:oMathPara>
        <m:oMath>
          <m:sSub>
            <m:sSubPr>
              <m:ctrlPr>
                <w:rPr>
                  <w:rFonts w:ascii="Cambria Math" w:hAnsi="Cambria Math"/>
                  <w:i/>
                  <w:sz w:val="32"/>
                </w:rPr>
              </m:ctrlPr>
            </m:sSubPr>
            <m:e>
              <m:r>
                <w:rPr>
                  <w:rFonts w:ascii="Cambria Math" w:hAnsi="Cambria Math"/>
                  <w:sz w:val="32"/>
                </w:rPr>
                <m:t>σ</m:t>
              </m:r>
            </m:e>
            <m:sub>
              <m:r>
                <w:rPr>
                  <w:rFonts w:ascii="Cambria Math" w:hAnsi="Cambria Math"/>
                  <w:sz w:val="32"/>
                </w:rPr>
                <m:t>g</m:t>
              </m:r>
            </m:sub>
          </m:sSub>
          <m:r>
            <w:rPr>
              <w:rFonts w:ascii="Cambria Math" w:hAnsi="Cambria Math"/>
              <w:sz w:val="32"/>
            </w:rPr>
            <m:t>=</m:t>
          </m:r>
          <m:f>
            <m:fPr>
              <m:ctrlPr>
                <w:rPr>
                  <w:rFonts w:ascii="Cambria Math" w:hAnsi="Cambria Math"/>
                  <w:i/>
                  <w:sz w:val="32"/>
                </w:rPr>
              </m:ctrlPr>
            </m:fPr>
            <m:num>
              <m:r>
                <w:rPr>
                  <w:rFonts w:ascii="Cambria Math" w:hAnsi="Cambria Math"/>
                  <w:sz w:val="32"/>
                </w:rPr>
                <m:t>σ</m:t>
              </m:r>
            </m:num>
            <m:den>
              <m:rad>
                <m:radPr>
                  <m:degHide m:val="1"/>
                  <m:ctrlPr>
                    <w:rPr>
                      <w:rFonts w:ascii="Cambria Math" w:hAnsi="Cambria Math"/>
                      <w:i/>
                      <w:sz w:val="32"/>
                    </w:rPr>
                  </m:ctrlPr>
                </m:radPr>
                <m:deg/>
                <m:e>
                  <m:r>
                    <w:rPr>
                      <w:rFonts w:ascii="Cambria Math" w:hAnsi="Cambria Math"/>
                      <w:sz w:val="32"/>
                    </w:rPr>
                    <m:t>2</m:t>
                  </m:r>
                  <m:func>
                    <m:funcPr>
                      <m:ctrlPr>
                        <w:rPr>
                          <w:rFonts w:ascii="Cambria Math" w:hAnsi="Cambria Math"/>
                          <w:i/>
                          <w:sz w:val="32"/>
                        </w:rPr>
                      </m:ctrlPr>
                    </m:funcPr>
                    <m:fName>
                      <m:r>
                        <m:rPr>
                          <m:sty m:val="p"/>
                        </m:rPr>
                        <w:rPr>
                          <w:rFonts w:ascii="Cambria Math" w:hAnsi="Cambria Math"/>
                          <w:sz w:val="32"/>
                        </w:rPr>
                        <m:t>ln</m:t>
                      </m:r>
                    </m:fName>
                    <m:e>
                      <m:r>
                        <w:rPr>
                          <w:rFonts w:ascii="Cambria Math" w:hAnsi="Cambria Math"/>
                          <w:sz w:val="32"/>
                        </w:rPr>
                        <m:t>2</m:t>
                      </m:r>
                    </m:e>
                  </m:func>
                </m:e>
              </m:rad>
            </m:den>
          </m:f>
        </m:oMath>
      </m:oMathPara>
    </w:p>
    <w:p w:rsidR="000F41C7" w:rsidRDefault="000F41C7" w:rsidP="000F41C7">
      <w:pPr>
        <w:rPr>
          <w:rFonts w:eastAsiaTheme="minorEastAsia"/>
        </w:rPr>
      </w:pPr>
      <w:r>
        <w:rPr>
          <w:rFonts w:eastAsiaTheme="minorEastAsia"/>
        </w:rPr>
        <w:t>A amplitude máxima</w:t>
      </w:r>
    </w:p>
    <w:p w:rsidR="000F41C7" w:rsidRDefault="000F41C7" w:rsidP="000F41C7">
      <w:r w:rsidRPr="00F215A2">
        <w:t>μ</w:t>
      </w:r>
      <w:r>
        <w:t xml:space="preserve"> Largura a Meira altura</w:t>
      </w:r>
    </w:p>
    <w:p w:rsidR="000F41C7" w:rsidRDefault="000F41C7" w:rsidP="000F41C7">
      <w:r w:rsidRPr="00F215A2">
        <w:t>α</w:t>
      </w:r>
      <w:r>
        <w:t xml:space="preserve"> Controla a parte G e L</w:t>
      </w:r>
    </w:p>
    <w:p w:rsidR="000F41C7" w:rsidRDefault="000F41C7" w:rsidP="000F41C7"/>
    <w:p w:rsidR="000F41C7" w:rsidRDefault="000F41C7" w:rsidP="000F41C7">
      <w:pPr>
        <w:keepNext/>
      </w:pPr>
      <w:r w:rsidRPr="000F41C7">
        <w:rPr>
          <w:noProof/>
          <w:lang w:eastAsia="pt-BR"/>
        </w:rPr>
        <w:drawing>
          <wp:inline distT="0" distB="0" distL="0" distR="0" wp14:anchorId="4FACA578" wp14:editId="2D54CBAE">
            <wp:extent cx="5400040" cy="3507765"/>
            <wp:effectExtent l="19050" t="0" r="0" b="0"/>
            <wp:docPr id="1" name="Imagem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11" cstate="print"/>
                    <a:srcRect/>
                    <a:stretch>
                      <a:fillRect/>
                    </a:stretch>
                  </pic:blipFill>
                  <pic:spPr bwMode="auto">
                    <a:xfrm>
                      <a:off x="0" y="0"/>
                      <a:ext cx="5400040" cy="3507765"/>
                    </a:xfrm>
                    <a:prstGeom prst="rect">
                      <a:avLst/>
                    </a:prstGeom>
                    <a:noFill/>
                    <a:ln w="9525">
                      <a:noFill/>
                      <a:miter lim="800000"/>
                      <a:headEnd/>
                      <a:tailEnd/>
                    </a:ln>
                  </pic:spPr>
                </pic:pic>
              </a:graphicData>
            </a:graphic>
          </wp:inline>
        </w:drawing>
      </w:r>
    </w:p>
    <w:p w:rsidR="000F41C7" w:rsidRDefault="000F41C7"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1</w:t>
      </w:r>
      <w:r w:rsidR="00AF04B4">
        <w:rPr>
          <w:noProof/>
        </w:rPr>
        <w:fldChar w:fldCharType="end"/>
      </w:r>
      <w:r>
        <w:t xml:space="preserve"> Perfil de </w:t>
      </w:r>
      <w:proofErr w:type="spellStart"/>
      <w:r>
        <w:t>ZnO</w:t>
      </w:r>
      <w:proofErr w:type="spellEnd"/>
    </w:p>
    <w:p w:rsidR="000F41C7" w:rsidRDefault="000F41C7" w:rsidP="000F41C7">
      <w:pPr>
        <w:keepNext/>
        <w:jc w:val="center"/>
      </w:pPr>
      <w:r w:rsidRPr="000F41C7">
        <w:rPr>
          <w:noProof/>
          <w:lang w:eastAsia="pt-BR"/>
        </w:rPr>
        <w:drawing>
          <wp:inline distT="0" distB="0" distL="0" distR="0" wp14:anchorId="291698F2" wp14:editId="62F6415F">
            <wp:extent cx="4543425" cy="742950"/>
            <wp:effectExtent l="19050" t="0" r="9525" b="0"/>
            <wp:docPr id="4" name="Imagem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a:stretch>
                      <a:fillRect/>
                    </a:stretch>
                  </pic:blipFill>
                  <pic:spPr bwMode="auto">
                    <a:xfrm>
                      <a:off x="0" y="0"/>
                      <a:ext cx="4543425" cy="742950"/>
                    </a:xfrm>
                    <a:prstGeom prst="rect">
                      <a:avLst/>
                    </a:prstGeom>
                    <a:noFill/>
                    <a:ln w="9525">
                      <a:noFill/>
                      <a:miter lim="800000"/>
                      <a:headEnd/>
                      <a:tailEnd/>
                    </a:ln>
                  </pic:spPr>
                </pic:pic>
              </a:graphicData>
            </a:graphic>
          </wp:inline>
        </w:drawing>
      </w:r>
    </w:p>
    <w:p w:rsidR="000F41C7" w:rsidRDefault="000F41C7"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2</w:t>
      </w:r>
      <w:r w:rsidR="00AF04B4">
        <w:rPr>
          <w:noProof/>
        </w:rPr>
        <w:fldChar w:fldCharType="end"/>
      </w:r>
      <w:r>
        <w:t xml:space="preserve"> Saída do programa</w:t>
      </w:r>
    </w:p>
    <w:p w:rsidR="000F41C7" w:rsidRDefault="000F41C7" w:rsidP="000F41C7">
      <w:r>
        <w:t>Com os dados de sigma e Center, é possível aplicar no método da Single-Line para cálculo do tamanho de cristalito e microdeformação.</w:t>
      </w:r>
      <w:r w:rsidR="004B3A89">
        <w:t xml:space="preserve"> O programa para teste já está pronto e já será colocado em testes.</w:t>
      </w:r>
    </w:p>
    <w:p w:rsidR="00AF04B4" w:rsidRDefault="00AF04B4" w:rsidP="000F41C7"/>
    <w:p w:rsidR="000F41C7" w:rsidRPr="00574A3D" w:rsidRDefault="00574A3D" w:rsidP="00574A3D">
      <w:pPr>
        <w:pStyle w:val="PargrafodaLista"/>
        <w:numPr>
          <w:ilvl w:val="1"/>
          <w:numId w:val="1"/>
        </w:numPr>
        <w:rPr>
          <w:b/>
        </w:rPr>
      </w:pPr>
      <w:r w:rsidRPr="00574A3D">
        <w:rPr>
          <w:b/>
        </w:rPr>
        <w:t xml:space="preserve">Suavização </w:t>
      </w:r>
    </w:p>
    <w:p w:rsidR="00AF04B4" w:rsidRDefault="00AF04B4" w:rsidP="00AF04B4">
      <w:r>
        <w:t>O</w:t>
      </w:r>
      <w:r w:rsidR="0054387E">
        <w:t xml:space="preserve"> método de </w:t>
      </w:r>
      <w:proofErr w:type="spellStart"/>
      <w:r w:rsidR="0054387E" w:rsidRPr="0054387E">
        <w:t>Savitzky</w:t>
      </w:r>
      <w:proofErr w:type="spellEnd"/>
      <w:r w:rsidR="0054387E" w:rsidRPr="0054387E">
        <w:t>–</w:t>
      </w:r>
      <w:proofErr w:type="spellStart"/>
      <w:r w:rsidR="0054387E" w:rsidRPr="0054387E">
        <w:t>Golay</w:t>
      </w:r>
      <w:proofErr w:type="spellEnd"/>
      <w:r>
        <w:fldChar w:fldCharType="begin" w:fldLock="1"/>
      </w:r>
      <w:r>
        <w:instrText>ADDIN CSL_CITATION { "citationItems" : [ { "id" : "ITEM-1", "itemData" : { "DOI" : "10.1016/j.sigpro.2005.02.002", "ISBN" : "0165-1684", "ISSN" : "01651684", "PMID" : "18814359", "abstract" : "The Savitzky-Golay smoothing and differentiation filter optimally fits a set of data points to a polynomial in the least-squares sense. The Savitzky-Golay filter has been developed and generalized well in the literatures. However, the data subset is subject to an odd number (2m+1). In this communication, the Savitzky-Golay filter is extended for even number data. Simulations are performed to validate the feasibility of such an approach. And some corresponding properties are discussed. ?? 2005 Elsevier B.V. All rights reserved.", "author" : [ { "dropping-particle" : "", "family" : "Luo", "given" : "Jianwen", "non-dropping-particle" : "", "parse-names" : false, "suffix" : "" }, { "dropping-particle" : "", "family" : "Ying", "given" : "Kui", "non-dropping-particle" : "", "parse-names" : false, "suffix" : "" }, { "dropping-particle" : "", "family" : "Bai", "given" : "Jing", "non-dropping-particle" : "", "parse-names" : false, "suffix" : "" } ], "container-title" : "Signal Processing", "id" : "ITEM-1", "issue" : "7", "issued" : { "date-parts" : [ [ "2005" ] ] }, "page" : "1429-1434", "title" : "Savitzky-Golay smoothing and differentiation filter for even number data", "type" : "article-journal", "volume" : "85" }, "uris" : [ "http://www.mendeley.com/documents/?uuid=fe92e4e3-c9bd-46e1-88e6-4412f9809899" ] }, { "id" : "ITEM-2", "itemData" : { "DOI" : "10.1021/ac60214a047", "ISBN" : "0003-2700", "ISSN" : "00032700", "PMID" : "6897057", "abstract" : "In attempting to analyze, on dig i ta I computers, data f rom basica II y continuous physical experiments, numerical methods of performing fa- miliar operations must be developed. The operations of differentiation and filtering are especially important both as an end in themselves, and as a pre- lude to further treatment of the data. Numerical counterparts of analog de- vices that perform these operations, such as RC filters, are often considered. However, the method of least squares may be used without additional com- putational complexity and with con- siderable improvement in the informo- tion obtained. The least squares cal- culations may be carried out in the computer by convolution of the data points with properly chosen sets of integers. These sets of integers and their normalizing factors are described and their use is illustrated in spectro- scopic applications. The computer programs required are relatively sim- ple. Two examples are presented as subroutines in the FORTRAN language", "author" : [ { "dropping-particle" : "", "family" : "Savitzky", "given" : "Abraham", "non-dropping-particle" : "", "parse-names" : false, "suffix" : "" }, { "dropping-particle" : "", "family" : "Golay", "given" : "Marcel J. E.", "non-dropping-particle" : "", "parse-names" : false, "suffix" : "" } ], "container-title" : "Analytical Chemistry", "id" : "ITEM-2", "issue" : "8", "issued" : { "date-parts" : [ [ "1964" ] ] }, "page" : "1627-1639", "title" : "Smoothing and Differentiation of Data by Simplified Least Squares Procedures", "type" : "article-journal", "volume" : "36" }, "uris" : [ "http://www.mendeley.com/documents/?uuid=ef0d7b93-4f52-4e85-a89a-408f516efbd0" ] }, { "id" : "ITEM-3", "itemData" : { "DOI" : "10.1109/TCSII.2011.2168022", "ISBN" : "9780791854808", "ISSN" : "15497747", "abstract" : "This brief proposes a design method for a digital fractional order Savitzky-Golay differentiator (DFOSGD), which generalizes the Savitzky-Golay filter from the integer order to the fractional order for estimating the fractional order derivative of the contaminated signal. The proposed method calculates the moving window's weights using the polynomial least-squares method and the Riemann-Liouville fractional order derivative definition, and then computes the fractional order derivative of the given signal using the convolution between the weights and the signal, instead of the complex mathematical deduction. Hence, the computation time is greatly improved. Frequency-domain analysis reveals that the proposed differentiator is essentially a fractional order low-pass filter. Experiments demonstrate that the proposed DFOSGD can accurately estimate the fractional order derivatives of both noise-free signal and contaminated signal.", "author" : [ { "dropping-particle" : "", "family" : "Chen", "given" : "Dali", "non-dropping-particle" : "", "parse-names" : false, "suffix" : "" }, { "dropping-particle" : "", "family" : "Chen", "given" : "Yangquan", "non-dropping-particle" : "", "parse-names" : false, "suffix" : "" }, { "dropping-particle" : "", "family" : "Xue", "given" : "Dingyu", "non-dropping-particle" : "", "parse-names" : false, "suffix" : "" } ], "container-title" : "IEEE Transactions on Circuits and Systems II: Express Briefs", "id" : "ITEM-3", "issue" : "11", "issued" : { "date-parts" : [ [ "2011" ] ] }, "page" : "758-762", "title" : "Digital fractional order Savitzky-Golay differentiator", "type" : "article-journal", "volume" : "58" }, "uris" : [ "http://www.mendeley.com/documents/?uuid=45866ea1-528d-4baf-afed-8da6004ce5a0" ] } ], "mendeley" : { "formattedCitation" : "(SAVITZKY; GOLAY, 1964; LUO; YING; BAI, 2005; CHEN; CHEN; XUE, 2011)", "plainTextFormattedCitation" : "(SAVITZKY; GOLAY, 1964; LUO; YING; BAI, 2005; CHEN; CHEN; XUE, 2011)", "previouslyFormattedCitation" : "(SAVITZKY; GOLAY, 1964; LUO; YING; BAI, 2005; CHEN; CHEN; XUE, 2011)" }, "properties" : { "noteIndex" : 0 }, "schema" : "https://github.com/citation-style-language/schema/raw/master/csl-citation.json" }</w:instrText>
      </w:r>
      <w:r>
        <w:fldChar w:fldCharType="separate"/>
      </w:r>
      <w:r w:rsidRPr="00AF04B4">
        <w:rPr>
          <w:noProof/>
        </w:rPr>
        <w:t>(SAVITZKY; GOLAY, 1964; LUO; YING; BAI, 2005; CHEN; CHEN; XUE, 2011)</w:t>
      </w:r>
      <w:r>
        <w:fldChar w:fldCharType="end"/>
      </w:r>
      <w:r w:rsidR="0054387E">
        <w:t>, auxilia na remoção de flutuações estatísticas ou ruído dos dados, sem mudar a forma do perfil.</w:t>
      </w:r>
      <w:r>
        <w:t xml:space="preserve"> </w:t>
      </w:r>
      <w:r>
        <w:t xml:space="preserve">O método de </w:t>
      </w:r>
      <w:proofErr w:type="spellStart"/>
      <w:r w:rsidRPr="0054387E">
        <w:t>Savitzky</w:t>
      </w:r>
      <w:proofErr w:type="spellEnd"/>
      <w:r w:rsidRPr="0054387E">
        <w:t>–</w:t>
      </w:r>
      <w:proofErr w:type="spellStart"/>
      <w:r w:rsidRPr="0054387E">
        <w:t>Golay</w:t>
      </w:r>
      <w:proofErr w:type="spellEnd"/>
      <w:r>
        <w:t>, foi aplicado em um conjunto de amostra, de modo a aumentar a eficiência na análise de fases.</w:t>
      </w:r>
    </w:p>
    <w:p w:rsidR="0054387E" w:rsidRDefault="0054387E" w:rsidP="00574A3D"/>
    <w:p w:rsidR="0054387E" w:rsidRDefault="0054387E" w:rsidP="0054387E">
      <w:pPr>
        <w:keepNext/>
      </w:pPr>
      <w:r w:rsidRPr="0054387E">
        <w:rPr>
          <w:noProof/>
          <w:lang w:eastAsia="pt-BR"/>
        </w:rPr>
        <w:drawing>
          <wp:inline distT="0" distB="0" distL="0" distR="0" wp14:anchorId="1C36C1F7" wp14:editId="7BBBDC25">
            <wp:extent cx="2562225" cy="1085850"/>
            <wp:effectExtent l="19050" t="0" r="9525" b="0"/>
            <wp:docPr id="5" name="Imagem 3"/>
            <wp:cNvGraphicFramePr/>
            <a:graphic xmlns:a="http://schemas.openxmlformats.org/drawingml/2006/main">
              <a:graphicData uri="http://schemas.openxmlformats.org/drawingml/2006/picture">
                <pic:pic xmlns:pic="http://schemas.openxmlformats.org/drawingml/2006/picture">
                  <pic:nvPicPr>
                    <pic:cNvPr id="7" name="Espaço Reservado para Conteúdo 6"/>
                    <pic:cNvPicPr>
                      <a:picLocks noGrp="1"/>
                    </pic:cNvPicPr>
                  </pic:nvPicPr>
                  <pic:blipFill rotWithShape="1">
                    <a:blip r:embed="rId13" cstate="print"/>
                    <a:srcRect l="26913" t="19869" r="28400" b="22769"/>
                    <a:stretch/>
                  </pic:blipFill>
                  <pic:spPr bwMode="auto">
                    <a:xfrm>
                      <a:off x="0" y="0"/>
                      <a:ext cx="2559810" cy="1084826"/>
                    </a:xfrm>
                    <a:prstGeom prst="rect">
                      <a:avLst/>
                    </a:prstGeom>
                    <a:ln>
                      <a:noFill/>
                    </a:ln>
                    <a:extLst>
                      <a:ext uri="{53640926-AAD7-44D8-BBD7-CCE9431645EC}">
                        <a14:shadowObscured xmlns:a14="http://schemas.microsoft.com/office/drawing/2010/main"/>
                      </a:ext>
                    </a:extLst>
                  </pic:spPr>
                </pic:pic>
              </a:graphicData>
            </a:graphic>
          </wp:inline>
        </w:drawing>
      </w:r>
      <w:r w:rsidRPr="0054387E">
        <w:rPr>
          <w:noProof/>
          <w:lang w:eastAsia="pt-BR"/>
        </w:rPr>
        <w:drawing>
          <wp:inline distT="0" distB="0" distL="0" distR="0" wp14:anchorId="70F97937" wp14:editId="2DAC23E6">
            <wp:extent cx="2085975" cy="971550"/>
            <wp:effectExtent l="19050" t="0" r="9525" b="0"/>
            <wp:docPr id="6" name="Imagem 4"/>
            <wp:cNvGraphicFramePr/>
            <a:graphic xmlns:a="http://schemas.openxmlformats.org/drawingml/2006/main">
              <a:graphicData uri="http://schemas.openxmlformats.org/drawingml/2006/picture">
                <pic:pic xmlns:pic="http://schemas.openxmlformats.org/drawingml/2006/picture">
                  <pic:nvPicPr>
                    <pic:cNvPr id="8" name="Espaço Reservado para Conteúdo 7"/>
                    <pic:cNvPicPr>
                      <a:picLocks noGrp="1"/>
                    </pic:cNvPicPr>
                  </pic:nvPicPr>
                  <pic:blipFill rotWithShape="1">
                    <a:blip r:embed="rId14" cstate="print"/>
                    <a:srcRect l="11643" t="17883" r="7043" b="7726"/>
                    <a:stretch/>
                  </pic:blipFill>
                  <pic:spPr bwMode="auto">
                    <a:xfrm>
                      <a:off x="0" y="0"/>
                      <a:ext cx="2088528" cy="972739"/>
                    </a:xfrm>
                    <a:prstGeom prst="rect">
                      <a:avLst/>
                    </a:prstGeom>
                    <a:ln>
                      <a:noFill/>
                    </a:ln>
                    <a:extLst>
                      <a:ext uri="{53640926-AAD7-44D8-BBD7-CCE9431645EC}">
                        <a14:shadowObscured xmlns:a14="http://schemas.microsoft.com/office/drawing/2010/main"/>
                      </a:ext>
                    </a:extLst>
                  </pic:spPr>
                </pic:pic>
              </a:graphicData>
            </a:graphic>
          </wp:inline>
        </w:drawing>
      </w:r>
    </w:p>
    <w:p w:rsidR="0054387E" w:rsidRDefault="0054387E"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2.1</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3</w:t>
      </w:r>
      <w:r w:rsidR="00AF04B4">
        <w:rPr>
          <w:noProof/>
        </w:rPr>
        <w:fldChar w:fldCharType="end"/>
      </w:r>
      <w:r>
        <w:t xml:space="preserve"> figura a esquerda suavização com a média dos dados, e a direita utilizando o método de </w:t>
      </w:r>
      <w:proofErr w:type="spellStart"/>
      <w:r>
        <w:t>Savitzky-Golay</w:t>
      </w:r>
      <w:proofErr w:type="spellEnd"/>
    </w:p>
    <w:p w:rsidR="00AF04B4" w:rsidRPr="00AF04B4" w:rsidRDefault="00AF04B4" w:rsidP="00AF04B4"/>
    <w:p w:rsidR="00C67E5F" w:rsidRDefault="009942D7" w:rsidP="009942D7">
      <w:pPr>
        <w:pStyle w:val="Ttulo1"/>
      </w:pPr>
      <w:r>
        <w:t>Fator Lorentz-Polarização</w:t>
      </w:r>
    </w:p>
    <w:p w:rsidR="009942D7" w:rsidRDefault="009942D7" w:rsidP="009942D7">
      <w:r>
        <w:t xml:space="preserve">A correção defeitos de polarização e dependentes de </w:t>
      </w:r>
      <w:r>
        <w:rPr>
          <w:rFonts w:cs="Times New Roman"/>
        </w:rPr>
        <w:t>Ө</w:t>
      </w:r>
      <w:r>
        <w:t>, são corrigidos pela divisão da combinação da equação chamada Lorentz-Polarização</w:t>
      </w:r>
      <w:r>
        <w:fldChar w:fldCharType="begin" w:fldLock="1"/>
      </w:r>
      <w:r w:rsidR="00AF04B4">
        <w:instrText>ADDIN CSL_CITATION { "citationItems" : [ { "id" : "ITEM-1", "itemData" : { "DOI" : "10.1524/zkri.2008.1213", "ISBN" : "0044-2968", "ISSN" : "0044-2968", "abstract" : "This paper addresses both old, but \u201crenovated\u201d methods and new methods for diffraction line-profile analysis. Classical and even extremely simple single-line methods for separating \u201csize\u201d and \u201cstrain\u201d broadening effects have merit for characterization of the material imperfectness, but it is generally very difficult to interpret the data obtained in terms of microstructure parameters as used in materials science. Developments of recent years, focusing on distinct anisotropic line-broadening effects, as due to the type, orientation and distribution of dislocations and minute compositional variation, will be touched upon. The most promising development may be the synthesis of line profiles on the basis of a microstructure model and application of the (kinematical) diffraction theory without any further assumption, which contrasts with the other methods. This approach can in principle be applied in single-line and multiple-line variants and also in analyses of the whole diffraction pattern. The advantage is the direct evaluation of microstructure parameters as used in materials science. The challenge is to develop microstructure models which are flexible enough to be applicable in more than one case ... Read More: http://www.oldenbourg-link.com/doi/abs/10.1524/zkri.2008.1213", "author" : [ { "dropping-particle" : "", "family" : "Mittemeijer", "given" : "Eric J.", "non-dropping-particle" : "", "parse-names" : false, "suffix" : "" }, { "dropping-particle" : "", "family" : "Welzel", "given" : "Udo", "non-dropping-particle" : "", "parse-names" : false, "suffix" : "" } ], "container-title" : "Zeitschrift f\u00fcr Kristallographie", "id" : "ITEM-1", "issue" : "9", "issued" : { "date-parts" : [ [ "2008" ] ] }, "page" : "552-560", "title" : "The \u201cstate of the art\u201d of the diffraction analysis of crystallite size and lattice strain", "type" : "article-journal", "volume" : "223" }, "uris" : [ "http://www.mendeley.com/documents/?uuid=9c636296-6469-4387-b999-e31e51e228d2" ] } ], "mendeley" : { "formattedCitation" : "(MITTEMEIJER; WELZEL, 2008)", "plainTextFormattedCitation" : "(MITTEMEIJER; WELZEL, 2008)", "previouslyFormattedCitation" : "(MITTEMEIJER; WELZEL, 2008)" }, "properties" : { "noteIndex" : 0 }, "schema" : "https://github.com/citation-style-language/schema/raw/master/csl-citation.json" }</w:instrText>
      </w:r>
      <w:r>
        <w:fldChar w:fldCharType="separate"/>
      </w:r>
      <w:r w:rsidR="00AF04B4" w:rsidRPr="00AF04B4">
        <w:rPr>
          <w:noProof/>
        </w:rPr>
        <w:t>(MITTEMEIJER; WELZEL, 2008)</w:t>
      </w:r>
      <w:r>
        <w:fldChar w:fldCharType="end"/>
      </w:r>
      <w:r>
        <w:t>.</w:t>
      </w:r>
    </w:p>
    <w:p w:rsidR="009942D7" w:rsidRPr="000E6F26" w:rsidRDefault="009942D7" w:rsidP="009942D7">
      <w:pPr>
        <w:rPr>
          <w:rFonts w:eastAsiaTheme="minorEastAsia"/>
        </w:rPr>
      </w:pPr>
      <m:oMathPara>
        <m:oMath>
          <m:r>
            <w:rPr>
              <w:rFonts w:ascii="Cambria Math" w:hAnsi="Cambria Math"/>
            </w:rPr>
            <m:t>LP=</m:t>
          </m:r>
          <m:f>
            <m:fPr>
              <m:ctrlPr>
                <w:rPr>
                  <w:rFonts w:ascii="Cambria Math" w:hAnsi="Cambria Math"/>
                  <w:i/>
                </w:rPr>
              </m:ctrlPr>
            </m:fPr>
            <m:num>
              <m:r>
                <w:rPr>
                  <w:rFonts w:ascii="Cambria Math" w:hAnsi="Cambria Math"/>
                </w:rPr>
                <m:t>1+</m:t>
              </m:r>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r>
                    <w:rPr>
                      <w:rFonts w:ascii="Cambria Math" w:hAnsi="Cambria Math"/>
                    </w:rPr>
                    <m:t>2</m:t>
                  </m:r>
                </m:sup>
              </m:sSup>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2θ</m:t>
                      </m:r>
                    </m:e>
                  </m:d>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m:oMathPara>
    </w:p>
    <w:p w:rsidR="000E6F26" w:rsidRDefault="00133F53" w:rsidP="000E6F26">
      <w:pPr>
        <w:pStyle w:val="Ttulo1"/>
      </w:pPr>
      <w:r>
        <w:t>Remoção do d</w:t>
      </w:r>
      <w:r w:rsidR="000E6F26">
        <w:t>ubleto K-alpha</w:t>
      </w:r>
    </w:p>
    <w:p w:rsidR="000E6F26" w:rsidRPr="000E6F26" w:rsidRDefault="000E6F26" w:rsidP="000E6F26"/>
    <w:p w:rsidR="000E6F26" w:rsidRDefault="000E6F26" w:rsidP="000E6F26">
      <w:r>
        <w:t>Um dos problemas da difração</w:t>
      </w:r>
      <w:r w:rsidR="00133F53">
        <w:t xml:space="preserve"> de raios x é o aparecimento das linhas Kα1</w:t>
      </w:r>
      <w:r>
        <w:t xml:space="preserve">e </w:t>
      </w:r>
      <w:r w:rsidR="00133F53">
        <w:t>Kα2</w:t>
      </w:r>
      <w:r>
        <w:t xml:space="preserve"> devido aos seus comprimentos de onda serem muito próximos, ambos passam pelo monocromador, fazendo aparecer dois tipos difração um para cada comprimento de onda, uma proposta para tal correção foi feito por </w:t>
      </w:r>
      <w:proofErr w:type="spellStart"/>
      <w:r>
        <w:t>Rachinger</w:t>
      </w:r>
      <w:proofErr w:type="spellEnd"/>
      <w:r>
        <w:t xml:space="preserve"> </w:t>
      </w:r>
      <w:r>
        <w:fldChar w:fldCharType="begin" w:fldLock="1"/>
      </w:r>
      <w:r w:rsidR="00AF04B4">
        <w:instrText>ADDIN CSL_CITATION { "citationItems" : [ { "id" : "ITEM-1", "itemData" : { "DOI" : "10.1080/01418619808224072", "ISBN" : "0141-8610", "ISSN" : "0141-8610", "abstract" : "Abstract It is well known that the Fourier analysis of X-ray diffraction peak profiles (as implemented by Warren and Averbach) can accurately determine the areaweighted average grain size of a fine-grained sample. Less well known is the fact that this method simultaneously yields a volume-weighted average grain size. Under certain circumstances, knowledge of these two weighted average grain sizes is sufficient to permit reliable estimation of the grain-size distribution, even when the distribution cannot be calculated directly from the Fourier coefficients, as is usually the case. We demonstrate this for a nanocrystalline Pd sample prepared by inert-gas condensation; average grain sizes and the grain-size distribution are estimated by X-ray diffraction profile analysis and compared with the same quantities measured directly by transmission electron microscopy (TEM). Very good agreement between the resulting average grain sizes is achieved only after compensating for the fact that diffraction profile analy...", "author" : [ { "dropping-particle" : "", "family" : "Kril", "given" : "C. E.", "non-dropping-particle" : "", "parse-names" : false, "suffix" : "" }, { "dropping-particle" : "", "family" : "Birringer", "given" : "R.", "non-dropping-particle" : "", "parse-names" : false, "suffix" : "" } ], "container-title" : "Philosophical Magazine A", "id" : "ITEM-1", "issue" : "3", "issued" : { "date-parts" : [ [ "1998" ] ] }, "note" : "NULL", "page" : "621-640", "title" : "Estimating grain-size distributions in nanocrystalline materials from X-ray diffraction profile analysis", "type" : "article-journal", "volume" : "77" }, "uris" : [ "http://www.mendeley.com/documents/?uuid=d69e581d-a221-49f9-9dd1-dda9a42b5972" ] } ], "mendeley" : { "formattedCitation" : "(KRIL; BIRRINGER, 1998)", "plainTextFormattedCitation" : "(KRIL; BIRRINGER, 1998)", "previouslyFormattedCitation" : "(KRIL; BIRRINGER, 1998)" }, "properties" : { "noteIndex" : 0 }, "schema" : "https://github.com/citation-style-language/schema/raw/master/csl-citation.json" }</w:instrText>
      </w:r>
      <w:r>
        <w:fldChar w:fldCharType="separate"/>
      </w:r>
      <w:r w:rsidR="00AF04B4" w:rsidRPr="00AF04B4">
        <w:rPr>
          <w:noProof/>
        </w:rPr>
        <w:t>(KRIL; BIRRINGER, 1998)</w:t>
      </w:r>
      <w:r>
        <w:fldChar w:fldCharType="end"/>
      </w:r>
      <w:r>
        <w:t>, onde é possível remover a contribuição do perfil medido</w:t>
      </w:r>
      <w:r w:rsidR="00C24E6F">
        <w:t>.</w:t>
      </w:r>
    </w:p>
    <w:p w:rsidR="00C24E6F" w:rsidRDefault="00133F53" w:rsidP="00133F53">
      <w:r>
        <w:t xml:space="preserve">O método </w:t>
      </w:r>
      <w:r w:rsidR="00AF04B4">
        <w:t xml:space="preserve">de </w:t>
      </w:r>
      <w:proofErr w:type="spellStart"/>
      <w:r>
        <w:t>Rachinger</w:t>
      </w:r>
      <w:proofErr w:type="spellEnd"/>
      <w:r>
        <w:t xml:space="preserve"> usa os comprimentos de onda exatos das linhas Kα1 e Kα2 e sua relação de intensidade. A intensidade medida no primeiro ponto do perfil é assumida como sendo inteiramente derivada de Kα1. O </w:t>
      </w:r>
      <w:proofErr w:type="spellStart"/>
      <w:r>
        <w:t>d</w:t>
      </w:r>
      <w:r w:rsidRPr="00133F53">
        <w:rPr>
          <w:vertAlign w:val="subscript"/>
        </w:rPr>
        <w:t>hkl</w:t>
      </w:r>
      <w:proofErr w:type="spellEnd"/>
      <w:r>
        <w:t xml:space="preserve"> que causa a difração neste ângulo 2θ, é claro, também difrata o Kα2 no ângulo proscrito pela lei de Bragg. Uma vez que a razão de intensidade das reflexões Kα1: Kα2 é exatamente 2: 1, metade da intensidade medida no ângulo baixo 2θ pode ser subtraída da intensidade do ângulo mais elevado, onde o comprimento de onda Kα2 difrata. Este método é uma boa aproximação, mas ele assume que os picos devido a Kα2 são idênticos.</w:t>
      </w:r>
    </w:p>
    <w:p w:rsidR="00133F53" w:rsidRDefault="00133F53" w:rsidP="00133F53"/>
    <w:p w:rsidR="00133F53" w:rsidRDefault="00133F53" w:rsidP="00133F53">
      <w:r>
        <w:lastRenderedPageBreak/>
        <w:t>De acordo com DELHEZ e MITTEMEIJER</w:t>
      </w:r>
      <w:r>
        <w:fldChar w:fldCharType="begin" w:fldLock="1"/>
      </w:r>
      <w:r w:rsidR="00AF04B4">
        <w:instrText>ADDIN CSL_CITATION { "citationItems" : [ { "id" : "ITEM-1", "itemData" : { "DOI" : "10.1107/S0021889875011132", "ISSN" : "0021-8898", "abstract" : "The existence of the K[alpha]2 lines in powder diffractograms has always obscured the interpretation of the diffraction patterns. Studies involving integrated intensity measurements, peak intensities and line broadening have been hampered owing to these extraneous lines. Crystal monochromators are ineffective for eliminating the K[alpha]2 profile. This paper presents an algorithm which practically removes the Cu K[alpha]2 profile. Previous procedures to remove the K[alpha]2 line or resolve the K[alpha] doublet assumed the shape of the [alpha]2 component to be identical to that of the a, component. The algorithm presented here uses the actual shape relationship between observed [alpha]1 and [alpha]2 components as a basis for elimination of the [alpha]2 profile. This algorithm has been applied to an on-line computer-controlled diffractometer to produce `real time' Cu K[alpha]2-free diffraction patterns. The method is quite general and can be extended to remove the K[alpha]2 lines of other radiations.", "author" : [ { "dropping-particle" : "", "family" : "Ladell", "given" : "J.", "non-dropping-particle" : "", "parse-names" : false, "suffix" : "" }, { "dropping-particle" : "", "family" : "Zagofsky", "given" : "A.", "non-dropping-particle" : "", "parse-names" : false, "suffix" : "" }, { "dropping-particle" : "", "family" : "Pearlman", "given" : "S.", "non-dropping-particle" : "", "parse-names" : false, "suffix" : "" } ], "container-title" : "Journal of Applied Crystallography", "id" : "ITEM-1", "issue" : "5", "issued" : { "date-parts" : [ [ "1975" ] ] }, "note" : "NULL", "page" : "499-506", "title" : "Cu K \u03b1 2 elimination algorithm", "type" : "article-journal", "volume" : "8" }, "uris" : [ "http://www.mendeley.com/documents/?uuid=6a75a325-30aa-4cfb-ab2e-fb087120e08b" ] } ], "mendeley" : { "formattedCitation" : "(LADELL; ZAGOFSKY; PEARLMAN, 1975)", "plainTextFormattedCitation" : "(LADELL; ZAGOFSKY; PEARLMAN, 1975)", "previouslyFormattedCitation" : "(LADELL; ZAGOFSKY; PEARLMAN, 1975)" }, "properties" : { "noteIndex" : 0 }, "schema" : "https://github.com/citation-style-language/schema/raw/master/csl-citation.json" }</w:instrText>
      </w:r>
      <w:r>
        <w:fldChar w:fldCharType="separate"/>
      </w:r>
      <w:r w:rsidR="00AF04B4" w:rsidRPr="00AF04B4">
        <w:rPr>
          <w:noProof/>
        </w:rPr>
        <w:t>(LADELL; ZAGOFSKY; PEARLMAN, 1975)</w:t>
      </w:r>
      <w:r>
        <w:fldChar w:fldCharType="end"/>
      </w:r>
      <w:r>
        <w:t xml:space="preserve"> a separação de dubleto, </w:t>
      </w:r>
      <w:proofErr w:type="spellStart"/>
      <w:r>
        <w:t>δR</w:t>
      </w:r>
      <w:proofErr w:type="spellEnd"/>
      <w:r>
        <w:t>, é calculada como um parâmetro dependente de 2θ como mostrado abaixo:</w:t>
      </w:r>
    </w:p>
    <w:p w:rsidR="00133F53" w:rsidRDefault="00AF04B4" w:rsidP="00133F53">
      <m:oMathPara>
        <m:oMath>
          <m:sSub>
            <m:sSubPr>
              <m:ctrlPr>
                <w:rPr>
                  <w:rFonts w:ascii="Cambria Math" w:hAnsi="Cambria Math"/>
                  <w:i/>
                </w:rPr>
              </m:ctrlPr>
            </m:sSubPr>
            <m:e>
              <m:r>
                <w:rPr>
                  <w:rFonts w:ascii="Cambria Math" w:hAnsi="Cambria Math"/>
                </w:rPr>
                <m:t>R</m:t>
              </m:r>
            </m:e>
            <m:sub>
              <m:r>
                <w:rPr>
                  <w:rFonts w:ascii="Cambria Math" w:hAnsi="Cambria Math"/>
                </w:rPr>
                <m:t>int</m:t>
              </m:r>
            </m:sub>
          </m:sSub>
          <m:r>
            <w:rPr>
              <w:rFonts w:ascii="Cambria Math" w:hAnsi="Cambria Math"/>
            </w:rPr>
            <m:t>=0.5</m:t>
          </m:r>
        </m:oMath>
      </m:oMathPara>
    </w:p>
    <w:p w:rsidR="00133F53" w:rsidRPr="00133F53" w:rsidRDefault="00AF04B4" w:rsidP="00133F5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wav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den>
          </m:f>
        </m:oMath>
      </m:oMathPara>
    </w:p>
    <w:p w:rsidR="00133F53" w:rsidRPr="00133F53" w:rsidRDefault="00133F53" w:rsidP="00133F53">
      <w:pPr>
        <w:rPr>
          <w:rFonts w:eastAsiaTheme="minorEastAsia"/>
        </w:rPr>
      </w:pPr>
      <m:oMathPara>
        <m:oMath>
          <m:r>
            <w:rPr>
              <w:rFonts w:ascii="Cambria Math" w:hAnsi="Cambria Math"/>
            </w:rPr>
            <m:t>δR=2</m:t>
          </m:r>
          <m:r>
            <m:rPr>
              <m:sty m:val="p"/>
            </m:rPr>
            <w:rPr>
              <w:rFonts w:ascii="Cambria Math" w:hAnsi="Cambria Math"/>
            </w:rPr>
            <m:t>arcsin⁡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wav</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1</m:t>
                  </m:r>
                </m:sub>
              </m:sSub>
            </m:e>
          </m:func>
        </m:oMath>
      </m:oMathPara>
    </w:p>
    <w:p w:rsidR="00133F53" w:rsidRPr="00133F53" w:rsidRDefault="00AF04B4" w:rsidP="00133F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a2</m:t>
              </m:r>
            </m:sub>
          </m:sSub>
          <m:d>
            <m:dPr>
              <m:ctrlPr>
                <w:rPr>
                  <w:rFonts w:ascii="Cambria Math" w:eastAsiaTheme="minorEastAsia" w:hAnsi="Cambria Math"/>
                  <w:i/>
                </w:rPr>
              </m:ctrlPr>
            </m:dPr>
            <m:e>
              <m:r>
                <w:rPr>
                  <w:rFonts w:ascii="Cambria Math" w:eastAsiaTheme="minorEastAsia" w:hAnsi="Cambria Math"/>
                </w:rPr>
                <m:t>2θ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a1</m:t>
              </m:r>
            </m:sub>
          </m:sSub>
          <m:r>
            <w:rPr>
              <w:rFonts w:ascii="Cambria Math" w:eastAsiaTheme="minorEastAsia" w:hAnsi="Cambria Math"/>
            </w:rPr>
            <m:t>(2θ-δR)</m:t>
          </m:r>
        </m:oMath>
      </m:oMathPara>
    </w:p>
    <w:p w:rsidR="00133F53" w:rsidRDefault="00133F53" w:rsidP="00133F53">
      <w:pPr>
        <w:rPr>
          <w:rFonts w:eastAsiaTheme="minorEastAsia"/>
        </w:rPr>
      </w:pPr>
      <w:r>
        <w:rPr>
          <w:rFonts w:eastAsiaTheme="minorEastAsia"/>
        </w:rPr>
        <w:t xml:space="preserve">Assim, a intensidade medida sem </w:t>
      </w:r>
      <w:r>
        <w:t>Kα2</w:t>
      </w:r>
      <w:r>
        <w:rPr>
          <w:rFonts w:eastAsiaTheme="minorEastAsia"/>
        </w:rPr>
        <w:t xml:space="preserve"> pode ser definida como:</w:t>
      </w:r>
    </w:p>
    <w:p w:rsidR="00133F53" w:rsidRPr="00133F53" w:rsidRDefault="00AF04B4" w:rsidP="00133F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a1</m:t>
              </m:r>
            </m:sub>
          </m:sSub>
          <m:d>
            <m:dPr>
              <m:ctrlPr>
                <w:rPr>
                  <w:rFonts w:ascii="Cambria Math" w:eastAsiaTheme="minorEastAsia" w:hAnsi="Cambria Math"/>
                  <w:i/>
                </w:rPr>
              </m:ctrlPr>
            </m:dPr>
            <m:e>
              <m:r>
                <w:rPr>
                  <w:rFonts w:ascii="Cambria Math" w:eastAsiaTheme="minorEastAsia" w:hAnsi="Cambria Math"/>
                </w:rPr>
                <m:t>2θ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a1</m:t>
              </m:r>
            </m:sub>
          </m:sSub>
          <m:d>
            <m:dPr>
              <m:ctrlPr>
                <w:rPr>
                  <w:rFonts w:ascii="Cambria Math" w:eastAsiaTheme="minorEastAsia" w:hAnsi="Cambria Math"/>
                  <w:i/>
                </w:rPr>
              </m:ctrlPr>
            </m:dPr>
            <m:e>
              <m:r>
                <w:rPr>
                  <w:rFonts w:ascii="Cambria Math" w:eastAsiaTheme="minorEastAsia" w:hAnsi="Cambria Math"/>
                </w:rPr>
                <m:t>2θ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a2</m:t>
              </m:r>
            </m:sub>
          </m:sSub>
          <m:d>
            <m:dPr>
              <m:ctrlPr>
                <w:rPr>
                  <w:rFonts w:ascii="Cambria Math" w:eastAsiaTheme="minorEastAsia" w:hAnsi="Cambria Math"/>
                  <w:i/>
                </w:rPr>
              </m:ctrlPr>
            </m:dPr>
            <m:e>
              <m:r>
                <w:rPr>
                  <w:rFonts w:ascii="Cambria Math" w:eastAsiaTheme="minorEastAsia" w:hAnsi="Cambria Math"/>
                </w:rPr>
                <m:t>2θ</m:t>
              </m:r>
            </m:e>
          </m:d>
        </m:oMath>
      </m:oMathPara>
    </w:p>
    <w:p w:rsidR="0054387E" w:rsidRDefault="00631EBE" w:rsidP="00631EBE">
      <w:pPr>
        <w:pStyle w:val="PargrafodaLista"/>
        <w:numPr>
          <w:ilvl w:val="1"/>
          <w:numId w:val="1"/>
        </w:numPr>
        <w:rPr>
          <w:b/>
        </w:rPr>
      </w:pPr>
      <w:r w:rsidRPr="00631EBE">
        <w:rPr>
          <w:b/>
        </w:rPr>
        <w:t>Warren-Averbach</w:t>
      </w:r>
    </w:p>
    <w:p w:rsidR="00860D3D" w:rsidRDefault="00860D3D" w:rsidP="00860D3D">
      <w:pPr>
        <w:pStyle w:val="PargrafodaLista"/>
        <w:ind w:left="792" w:firstLine="0"/>
        <w:rPr>
          <w:b/>
        </w:rPr>
      </w:pPr>
    </w:p>
    <w:p w:rsidR="00742009" w:rsidRDefault="00860D3D" w:rsidP="00742009">
      <w:r>
        <w:t>O método de Warren-Averbach (W-A)</w:t>
      </w:r>
      <w:r>
        <w:fldChar w:fldCharType="begin" w:fldLock="1"/>
      </w:r>
      <w:r w:rsidR="00AF04B4">
        <w:instrText>ADDIN CSL_CITATION { "citationItems" : [ { "id" : "ITEM-1", "itemData" : { "ISSN" : "1476-1122", "author" : [ { "dropping-particle" : "", "family" : "Rivnay", "given" : "Jonathan", "non-dropping-particle" : "", "parse-names" : false, "suffix" : "" }, { "dropping-particle" : "", "family" : "Salleo", "given" : "Alberto", "non-dropping-particle" : "", "parse-names" : false, "suffix" : "" }, { "dropping-particle" : "", "family" : "Toney", "given" : "Michael", "non-dropping-particle" : "", "parse-names" : false, "suffix" : "" } ], "id" : "ITEM-1", "issued" : { "date-parts" : [ [ "2012" ] ] }, "title" : "Warren Averbach analysis of XRD peak shapes : Measuring disorder in soft organic materials How will organic semiconductors continue improving ? Mobility ( cm / Vs )", "type" : "article-journal" }, "uris" : [ "http://www.mendeley.com/documents/?uuid=1d960868-f895-4ca7-a0fd-f6369d51900c" ] }, { "id" : "ITEM-2", "itemData" : { "author" : [ { "dropping-particle" : "", "family" : "Ichikawa", "given" : "R. U.", "non-dropping-particle" : "", "parse-names" : false, "suffix" : "" }, { "dropping-particle" : "", "family" : "Martinez", "given" : "L. G.", "non-dropping-particle" : "", "parse-names" : false, "suffix" : "" }, { "dropping-particle" : "", "family" : "Imakuma", "given" : "K.", "non-dropping-particle" : "", "parse-names" : false, "suffix" : "" }, { "dropping-particle" : "", "family" : "Turrillas", "given" : "X", "non-dropping-particle" : "", "parse-names" : false, "suffix" : "" } ], "container-title" : "Blucher Proceedings", "id" : "ITEM-2", "issued" : { "date-parts" : [ [ "0" ] ] }, "title" : "Development of a methodology for the application of the Warren-Averbach method", "type" : "article-journal" }, "uris" : [ "http://www.mendeley.com/documents/?uuid=666edbe7-81a8-46be-926b-4212f0b4cb1d" ] }, { "id" : "ITEM-3", "itemData" : { "DOI" : "10.1016/j.jallcom.2006.11.125", "ISSN" : "09258388", "abstract" : "Present study considers microstructural characterization of titanium-base aluminium (Ti-Al) alloys, which are widely used in the aviation industry due to its excellent combination of strength and ductility. The microstructural parameters like domain size, microstrain within the domain, dislocation density and stacking fault probabilities have been evaluated in hexagonal Ti-Al alloys having four different nominal compositions in at.% by X-ray diffraction Fourier line profile analysis using Warren-Averbach and Rietveld method taking silicon as standard. This analysis shows that the deformation growth faults ?? are totally absent in this hexagonal system, because it has been observed to be either negligibly small (within experimental error) or negative. This analysis also reveals that the tendency for deformation faulting ?? increases by the addition of aluminium as solute and hence lowers its stacking fault energy. ?? 2006 Elsevier B.V. All rights reserved.", "author" : [ { "dropping-particle" : "", "family" : "Ghosh", "given" : "J.", "non-dropping-particle" : "", "parse-names" : false, "suffix" : "" }, { "dropping-particle" : "", "family" : "Chattopadhayay", "given" : "S. K.", "non-dropping-particle" : "", "parse-names" : false, "suffix" : "" }, { "dropping-particle" : "", "family" : "Meikap", "given" : "A. K.", "non-dropping-particle" : "", "parse-names" : false, "suffix" : "" }, { "dropping-particle" : "", "family" : "Chatterjee", "given" : "S. K.", "non-dropping-particle" : "", "parse-names" : false, "suffix" : "" } ], "container-title" : "Journal of Alloys and Compounds", "id" : "ITEM-3", "issue" : "1-2", "issued" : { "date-parts" : [ [ "2008" ] ] }, "page" : "131-137", "title" : "Microstructure characterization of titanium-base aluminium alloys by X-ray diffraction using Warren-Averbach and Rietveld method", "type" : "article-journal", "volume" : "453" }, "uris" : [ "http://www.mendeley.com/documents/?uuid=f2a087fa-c7a1-4d19-83f1-bd773b1757a2" ] }, { "id" : "ITEM-4", "itemData" : { "author" : [ { "dropping-particle" : "", "family" : "Gallego", "given" : "Martinez Luis", "non-dropping-particle" : "", "parse-names" : false, "suffix" : "" } ], "container-title" : "Thesis Ph.D, Universidade de Sao Paulo, Brazil", "id" : "ITEM-4", "issued" : { "date-parts" : [ [ "1989" ] ] }, "title" : "Desenvolvimento e Implanta\u00e7\u00e3o de Uma T\u00e9cnica de An\u00e1lise de Perfis de Difra\u00e7\u00e2o de Raios X, Para a Determina\u00e7\u00e3o da Energia de Falha de Empilhamento de Metais E Ligas de Estrutura CfC", "type" : "article-journal" }, "uris" : [ "http://www.mendeley.com/documents/?uuid=6a9a1c5b-3a64-462c-b0ea-b295cbe92af1" ] } ], "mendeley" : { "formattedCitation" : "(ICHIKAWA et al., ; GALLEGO, 1989; GHOSH et al., 2008; RIVNAY; SALLEO; TONEY, 2012)", "plainTextFormattedCitation" : "(ICHIKAWA et al., ; GALLEGO, 1989; GHOSH et al., 2008; RIVNAY; SALLEO; TONEY, 2012)", "previouslyFormattedCitation" : "(ICHIKAWA et al., ; GALLEGO, 1989; GHOSH et al., 2008; RIVNAY; SALLEO; TONEY, 2012)" }, "properties" : { "noteIndex" : 0 }, "schema" : "https://github.com/citation-style-language/schema/raw/master/csl-citation.json" }</w:instrText>
      </w:r>
      <w:r>
        <w:fldChar w:fldCharType="separate"/>
      </w:r>
      <w:r w:rsidR="00AF04B4" w:rsidRPr="00AF04B4">
        <w:rPr>
          <w:noProof/>
        </w:rPr>
        <w:t>(ICHIKAWA et al., ; GALLEGO, 1989; GHOSH et al., 2008; RIVNAY; SALLEO; TONEY, 2012)</w:t>
      </w:r>
      <w:r>
        <w:fldChar w:fldCharType="end"/>
      </w:r>
      <w:r>
        <w:t>, foi originalmente desenvolvido para metais, onde cada domínio é representado por colunas de celas unitárias ao longo da direção a</w:t>
      </w:r>
      <w:r w:rsidRPr="00860D3D">
        <w:rPr>
          <w:vertAlign w:val="subscript"/>
        </w:rPr>
        <w:t>3</w:t>
      </w:r>
      <w:r>
        <w:rPr>
          <w:vertAlign w:val="subscript"/>
        </w:rPr>
        <w:t xml:space="preserve">. </w:t>
      </w:r>
      <w:r>
        <w:t>O cristal possui eixos ortorrômbicos com a direção a</w:t>
      </w:r>
      <w:r w:rsidRPr="00860D3D">
        <w:rPr>
          <w:vertAlign w:val="subscript"/>
        </w:rPr>
        <w:t>3</w:t>
      </w:r>
      <w:r>
        <w:rPr>
          <w:vertAlign w:val="subscript"/>
        </w:rPr>
        <w:t xml:space="preserve"> </w:t>
      </w:r>
      <w:r w:rsidRPr="00860D3D">
        <w:t xml:space="preserve">normal aos planos que difratam </w:t>
      </w:r>
      <w:r>
        <w:t xml:space="preserve">os </w:t>
      </w:r>
      <w:r w:rsidRPr="00860D3D">
        <w:t>raios x</w:t>
      </w:r>
      <w:r w:rsidR="00ED43DD">
        <w:t xml:space="preserve"> (00l</w:t>
      </w:r>
      <w:r>
        <w:t>).</w:t>
      </w:r>
    </w:p>
    <w:p w:rsidR="00DF73A8" w:rsidRDefault="00DF73A8" w:rsidP="00DF73A8">
      <w:pPr>
        <w:keepNext/>
        <w:jc w:val="center"/>
      </w:pPr>
      <w:r>
        <w:rPr>
          <w:noProof/>
          <w:lang w:eastAsia="pt-BR"/>
        </w:rPr>
        <w:drawing>
          <wp:inline distT="0" distB="0" distL="0" distR="0" wp14:anchorId="3FE9FE34" wp14:editId="0EC9EDF4">
            <wp:extent cx="4019550" cy="3209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9550" cy="3209925"/>
                    </a:xfrm>
                    <a:prstGeom prst="rect">
                      <a:avLst/>
                    </a:prstGeom>
                  </pic:spPr>
                </pic:pic>
              </a:graphicData>
            </a:graphic>
          </wp:inline>
        </w:drawing>
      </w:r>
    </w:p>
    <w:p w:rsidR="00DF73A8" w:rsidRDefault="00DF73A8" w:rsidP="00DF73A8">
      <w:pPr>
        <w:pStyle w:val="Legenda"/>
      </w:pPr>
      <w:r>
        <w:t xml:space="preserve">Figura </w:t>
      </w:r>
      <w:r w:rsidR="00AF04B4">
        <w:fldChar w:fldCharType="begin"/>
      </w:r>
      <w:r w:rsidR="00AF04B4">
        <w:instrText xml:space="preserve"> STYLEREF 1 \s </w:instrText>
      </w:r>
      <w:r w:rsidR="00AF04B4">
        <w:fldChar w:fldCharType="separate"/>
      </w:r>
      <w:r w:rsidR="007820C9">
        <w:rPr>
          <w:noProof/>
        </w:rPr>
        <w:t>2.4</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1</w:t>
      </w:r>
      <w:r w:rsidR="00AF04B4">
        <w:rPr>
          <w:noProof/>
        </w:rPr>
        <w:fldChar w:fldCharType="end"/>
      </w:r>
      <w:r>
        <w:t xml:space="preserve"> Representação do cristal em termos de colunas de celas unitárias ao longo da direção a</w:t>
      </w:r>
      <w:r w:rsidRPr="00DF73A8">
        <w:rPr>
          <w:vertAlign w:val="subscript"/>
        </w:rPr>
        <w:t>3</w:t>
      </w:r>
    </w:p>
    <w:p w:rsidR="00860D3D" w:rsidRDefault="007C378A" w:rsidP="00742009">
      <w:r>
        <w:t>A intensidade da difração experimental ou medida</w:t>
      </w:r>
      <w:r w:rsidR="00860D3D">
        <w:t xml:space="preserve"> pode ser </w:t>
      </w:r>
      <w:r>
        <w:t>expressa</w:t>
      </w:r>
      <w:r w:rsidR="00860D3D">
        <w:t xml:space="preserve"> por uma série de Fourier:</w:t>
      </w:r>
    </w:p>
    <w:p w:rsidR="00860D3D" w:rsidRPr="00C67E5F" w:rsidRDefault="00C67E5F" w:rsidP="00742009">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2θ</m:t>
              </m:r>
            </m:e>
          </m:d>
          <m:r>
            <w:rPr>
              <w:rFonts w:ascii="Cambria Math" w:hAnsi="Cambria Math"/>
            </w:rPr>
            <m:t>=</m:t>
          </m:r>
          <m:f>
            <m:fPr>
              <m:ctrlPr>
                <w:rPr>
                  <w:rFonts w:ascii="Cambria Math" w:hAnsi="Cambria Math"/>
                  <w:i/>
                </w:rPr>
              </m:ctrlPr>
            </m:fPr>
            <m:num>
              <m:r>
                <w:rPr>
                  <w:rFonts w:ascii="Cambria Math" w:hAnsi="Cambria Math"/>
                </w:rPr>
                <m:t>KN</m:t>
              </m:r>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2πnh</m:t>
                          </m:r>
                        </m:e>
                      </m:d>
                    </m:e>
                  </m:func>
                  <m:r>
                    <w:rPr>
                      <w:rFonts w:ascii="Cambria Math" w:hAnsi="Cambria Math"/>
                    </w:rPr>
                    <m:t>+Bn  sin⁡(2πnh)</m:t>
                  </m:r>
                </m:e>
              </m:d>
            </m:e>
          </m:nary>
        </m:oMath>
      </m:oMathPara>
    </w:p>
    <w:p w:rsidR="00C67E5F" w:rsidRDefault="00C67E5F" w:rsidP="00742009">
      <w:pPr>
        <w:rPr>
          <w:rFonts w:eastAsiaTheme="minorEastAsia"/>
        </w:rPr>
      </w:pPr>
      <w:r>
        <w:rPr>
          <w:rFonts w:eastAsiaTheme="minorEastAsia"/>
        </w:rPr>
        <w:lastRenderedPageBreak/>
        <w:t xml:space="preserve">Onde a intensidade </w:t>
      </w:r>
      <m:oMath>
        <m:r>
          <w:rPr>
            <w:rFonts w:ascii="Cambria Math" w:hAnsi="Cambria Math"/>
          </w:rPr>
          <m:t>P</m:t>
        </m:r>
        <m:d>
          <m:dPr>
            <m:ctrlPr>
              <w:rPr>
                <w:rFonts w:ascii="Cambria Math" w:hAnsi="Cambria Math"/>
                <w:i/>
              </w:rPr>
            </m:ctrlPr>
          </m:dPr>
          <m:e>
            <m:r>
              <w:rPr>
                <w:rFonts w:ascii="Cambria Math" w:hAnsi="Cambria Math"/>
              </w:rPr>
              <m:t>2θ</m:t>
            </m:r>
          </m:e>
        </m:d>
        <m:r>
          <w:rPr>
            <w:rFonts w:ascii="Cambria Math" w:hAnsi="Cambria Math"/>
          </w:rPr>
          <m:t xml:space="preserve"> </m:t>
        </m:r>
      </m:oMath>
      <w:r>
        <w:rPr>
          <w:rFonts w:eastAsiaTheme="minorEastAsia"/>
        </w:rPr>
        <w:t>é o perfil medido, K um fator angular, N o n</w:t>
      </w:r>
      <w:r w:rsidR="007C378A">
        <w:rPr>
          <w:rFonts w:eastAsiaTheme="minorEastAsia"/>
        </w:rPr>
        <w:t>ú</w:t>
      </w:r>
      <w:r>
        <w:rPr>
          <w:rFonts w:eastAsiaTheme="minorEastAsia"/>
        </w:rPr>
        <w:t xml:space="preserve">mero de celas unitárias no material analisado, F um fator de estrutura, n o número </w:t>
      </w:r>
      <w:r w:rsidR="005C51A2">
        <w:rPr>
          <w:rFonts w:eastAsiaTheme="minorEastAsia"/>
        </w:rPr>
        <w:t>harmônico</w:t>
      </w:r>
      <w:r>
        <w:rPr>
          <w:rFonts w:eastAsiaTheme="minorEastAsia"/>
        </w:rPr>
        <w:t xml:space="preserve"> e h sendo:</w:t>
      </w:r>
    </w:p>
    <w:p w:rsidR="00C67E5F" w:rsidRPr="00E4798D" w:rsidRDefault="00C67E5F" w:rsidP="00742009">
      <w:pPr>
        <w:rPr>
          <w:rFonts w:eastAsiaTheme="minorEastAsia"/>
        </w:rPr>
      </w:pPr>
      <m:oMathPara>
        <m:oMath>
          <m:r>
            <w:rPr>
              <w:rFonts w:ascii="Cambria Math" w:hAnsi="Cambria Math"/>
            </w:rPr>
            <m:t>h=</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rPr>
                <m:t>λ</m:t>
              </m:r>
              <m:d>
                <m:dPr>
                  <m:begChr m:val="|"/>
                  <m:endChr m:val="|"/>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b</m:t>
                          </m:r>
                        </m:e>
                      </m:groupChr>
                    </m:e>
                  </m:box>
                </m:e>
              </m:d>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a</m:t>
                      </m:r>
                    </m:e>
                  </m:groupChr>
                </m:e>
              </m:box>
              <m:r>
                <w:rPr>
                  <w:rFonts w:ascii="Cambria Math" w:hAnsi="Cambria Math"/>
                </w:rPr>
                <m:t>|</m:t>
              </m:r>
            </m:num>
            <m:den>
              <m:r>
                <w:rPr>
                  <w:rFonts w:ascii="Cambria Math" w:hAnsi="Cambria Math"/>
                </w:rPr>
                <m:t>λ</m:t>
              </m:r>
            </m:den>
          </m:f>
        </m:oMath>
      </m:oMathPara>
    </w:p>
    <w:p w:rsidR="00E4798D" w:rsidRDefault="00E4798D" w:rsidP="00742009">
      <w:pPr>
        <w:rPr>
          <w:rFonts w:eastAsiaTheme="minorEastAsia"/>
        </w:rPr>
      </w:pPr>
      <w:r>
        <w:rPr>
          <w:rFonts w:eastAsiaTheme="minorEastAsia"/>
        </w:rPr>
        <w:t xml:space="preserve">Os coeficientes </w:t>
      </w:r>
      <w:proofErr w:type="spellStart"/>
      <w:r>
        <w:rPr>
          <w:rFonts w:eastAsiaTheme="minorEastAsia"/>
        </w:rPr>
        <w:t>A</w:t>
      </w:r>
      <w:r w:rsidRPr="00E4798D">
        <w:rPr>
          <w:rFonts w:eastAsiaTheme="minorEastAsia"/>
          <w:vertAlign w:val="subscript"/>
        </w:rPr>
        <w:t>n</w:t>
      </w:r>
      <w:proofErr w:type="spellEnd"/>
      <w:r>
        <w:rPr>
          <w:rFonts w:eastAsiaTheme="minorEastAsia"/>
        </w:rPr>
        <w:t xml:space="preserve"> e </w:t>
      </w:r>
      <w:proofErr w:type="spellStart"/>
      <w:r>
        <w:rPr>
          <w:rFonts w:eastAsiaTheme="minorEastAsia"/>
        </w:rPr>
        <w:t>B</w:t>
      </w:r>
      <w:r w:rsidRPr="00E4798D">
        <w:rPr>
          <w:rFonts w:eastAsiaTheme="minorEastAsia"/>
          <w:vertAlign w:val="subscript"/>
        </w:rPr>
        <w:t>n</w:t>
      </w:r>
      <w:proofErr w:type="spellEnd"/>
      <w:r>
        <w:rPr>
          <w:rFonts w:eastAsiaTheme="minorEastAsia"/>
        </w:rPr>
        <w:t xml:space="preserve"> são dados por:</w:t>
      </w:r>
    </w:p>
    <w:p w:rsidR="00E4798D" w:rsidRPr="00E4798D" w:rsidRDefault="00AF04B4" w:rsidP="0074200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2πl</m:t>
                  </m:r>
                  <m:sSub>
                    <m:sSubPr>
                      <m:ctrlPr>
                        <w:rPr>
                          <w:rFonts w:ascii="Cambria Math" w:hAnsi="Cambria Math"/>
                          <w:i/>
                        </w:rPr>
                      </m:ctrlPr>
                    </m:sSubPr>
                    <m:e>
                      <m:r>
                        <w:rPr>
                          <w:rFonts w:ascii="Cambria Math" w:hAnsi="Cambria Math"/>
                        </w:rPr>
                        <m:t>Z</m:t>
                      </m:r>
                    </m:e>
                    <m:sub>
                      <m:r>
                        <w:rPr>
                          <w:rFonts w:ascii="Cambria Math" w:hAnsi="Cambria Math"/>
                        </w:rPr>
                        <m:t>n</m:t>
                      </m:r>
                    </m:sub>
                  </m:sSub>
                </m:e>
              </m:func>
            </m:e>
          </m:d>
        </m:oMath>
      </m:oMathPara>
    </w:p>
    <w:p w:rsidR="00E4798D" w:rsidRDefault="00AF04B4" w:rsidP="00E4798D">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2πl</m:t>
                  </m:r>
                  <m:sSub>
                    <m:sSubPr>
                      <m:ctrlPr>
                        <w:rPr>
                          <w:rFonts w:ascii="Cambria Math" w:hAnsi="Cambria Math"/>
                          <w:i/>
                        </w:rPr>
                      </m:ctrlPr>
                    </m:sSubPr>
                    <m:e>
                      <m:r>
                        <w:rPr>
                          <w:rFonts w:ascii="Cambria Math" w:hAnsi="Cambria Math"/>
                        </w:rPr>
                        <m:t>Z</m:t>
                      </m:r>
                    </m:e>
                    <m:sub>
                      <m:r>
                        <w:rPr>
                          <w:rFonts w:ascii="Cambria Math" w:hAnsi="Cambria Math"/>
                        </w:rPr>
                        <m:t>n</m:t>
                      </m:r>
                    </m:sub>
                  </m:sSub>
                </m:e>
              </m:func>
            </m:e>
          </m:d>
        </m:oMath>
      </m:oMathPara>
    </w:p>
    <w:p w:rsidR="00E4798D" w:rsidRDefault="00E4798D" w:rsidP="00742009">
      <w:pPr>
        <w:rPr>
          <w:rFonts w:eastAsiaTheme="minorEastAsia"/>
        </w:rPr>
      </w:pPr>
      <w:r>
        <w:t xml:space="preserve">Sendo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Pr>
          <w:rFonts w:eastAsiaTheme="minorEastAsia"/>
        </w:rPr>
        <w:t xml:space="preserve">é um termo relacionado à média de colunas de celas unitárias 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é a dis</w:t>
      </w:r>
      <w:r w:rsidR="007C378A">
        <w:rPr>
          <w:rFonts w:eastAsiaTheme="minorEastAsia"/>
        </w:rPr>
        <w:t>tâ</w:t>
      </w:r>
      <w:r>
        <w:rPr>
          <w:rFonts w:eastAsiaTheme="minorEastAsia"/>
        </w:rPr>
        <w:t xml:space="preserve">ncia </w:t>
      </w:r>
      <w:r w:rsidR="007C378A">
        <w:rPr>
          <w:rFonts w:eastAsiaTheme="minorEastAsia"/>
        </w:rPr>
        <w:t xml:space="preserve">dentre pares de celas unitárias, podendo se representado por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L</m:t>
                </m:r>
              </m:sub>
            </m:sSub>
          </m:e>
        </m:d>
      </m:oMath>
      <w:r w:rsidR="007C378A">
        <w:rPr>
          <w:rFonts w:eastAsiaTheme="minorEastAsia"/>
        </w:rPr>
        <w:t xml:space="preserve">, 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L</m:t>
                </m:r>
              </m:sub>
            </m:sSub>
          </m:e>
        </m:d>
      </m:oMath>
      <w:r w:rsidR="007C378A">
        <w:rPr>
          <w:rFonts w:eastAsiaTheme="minorEastAsia"/>
        </w:rPr>
        <w:t xml:space="preserve"> é a deformação média causada por uma distorção da rede cristalina na direção </w:t>
      </w:r>
      <m:oMath>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rPr>
                  <m:t>a</m:t>
                </m:r>
              </m:e>
            </m:groupChr>
          </m:e>
        </m:box>
      </m:oMath>
      <w:r w:rsidR="007C378A">
        <w:rPr>
          <w:rFonts w:eastAsiaTheme="minorEastAsia"/>
        </w:rPr>
        <w:t>.</w:t>
      </w:r>
    </w:p>
    <w:p w:rsidR="007C378A" w:rsidRDefault="007C378A" w:rsidP="00742009">
      <w:r>
        <w:t>Partindo da definição de que a somatória de uma função seno impar será nula teremos que:</w:t>
      </w:r>
    </w:p>
    <w:p w:rsidR="007C378A" w:rsidRPr="007C378A" w:rsidRDefault="007C378A" w:rsidP="00742009">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2θ</m:t>
              </m:r>
            </m:e>
          </m:d>
          <m:r>
            <w:rPr>
              <w:rFonts w:ascii="Cambria Math" w:hAnsi="Cambria Math"/>
            </w:rPr>
            <m:t>=</m:t>
          </m:r>
          <m:f>
            <m:fPr>
              <m:ctrlPr>
                <w:rPr>
                  <w:rFonts w:ascii="Cambria Math" w:hAnsi="Cambria Math"/>
                  <w:i/>
                </w:rPr>
              </m:ctrlPr>
            </m:fPr>
            <m:num>
              <m:r>
                <w:rPr>
                  <w:rFonts w:ascii="Cambria Math" w:hAnsi="Cambria Math"/>
                </w:rPr>
                <m:t>KN</m:t>
              </m:r>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2πnh</m:t>
                          </m:r>
                        </m:e>
                      </m:d>
                    </m:e>
                  </m:func>
                </m:e>
              </m:d>
            </m:e>
          </m:nary>
        </m:oMath>
      </m:oMathPara>
    </w:p>
    <w:p w:rsidR="007C378A" w:rsidRDefault="007C378A" w:rsidP="00742009">
      <w:pPr>
        <w:rPr>
          <w:rFonts w:eastAsiaTheme="minorEastAsia"/>
        </w:rPr>
      </w:pPr>
      <w:r>
        <w:rPr>
          <w:rFonts w:eastAsiaTheme="minorEastAsia"/>
        </w:rPr>
        <w:t xml:space="preserve">Portanto o coeficiente de Fourier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está relacionado a dois termos, um sendo a coluna </w:t>
      </w:r>
      <w:r w:rsidR="00844DEA">
        <w:rPr>
          <w:rFonts w:eastAsiaTheme="minorEastAsia"/>
        </w:rPr>
        <w:t xml:space="preserve">de </w:t>
      </w:r>
      <w:r>
        <w:rPr>
          <w:rFonts w:eastAsiaTheme="minorEastAsia"/>
        </w:rPr>
        <w:t xml:space="preserve">celas unitárias ou ao tamanho médio de cristalito ponderado pela área, e outro termo relacionado </w:t>
      </w:r>
      <w:r w:rsidR="00844DEA">
        <w:rPr>
          <w:rFonts w:eastAsiaTheme="minorEastAsia"/>
        </w:rPr>
        <w:t>à</w:t>
      </w:r>
      <w:r>
        <w:rPr>
          <w:rFonts w:eastAsiaTheme="minorEastAsia"/>
        </w:rPr>
        <w:t xml:space="preserve"> deformação da rede cristalina e que depende da ordem de reflexão do perfil.</w:t>
      </w:r>
      <w:r w:rsidR="00844DEA">
        <w:rPr>
          <w:rFonts w:eastAsiaTheme="minorEastAsia"/>
        </w:rPr>
        <w:t xml:space="preserve"> Assim, este coeficiente por ser:</w:t>
      </w:r>
    </w:p>
    <w:p w:rsidR="00844DEA" w:rsidRPr="00844DEA" w:rsidRDefault="00AF04B4" w:rsidP="0074200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D</m:t>
              </m:r>
            </m:sup>
          </m:sSubSup>
        </m:oMath>
      </m:oMathPara>
    </w:p>
    <w:p w:rsidR="00844DEA" w:rsidRDefault="00844DEA" w:rsidP="00844DEA">
      <w:pPr>
        <w:rPr>
          <w:rFonts w:eastAsiaTheme="minorEastAsia"/>
        </w:rPr>
      </w:pPr>
      <w:r>
        <w:rPr>
          <w:rFonts w:eastAsiaTheme="minorEastAsia"/>
        </w:rPr>
        <w:t>Um relacionado ao tamanho (T) e outro a deformação</w:t>
      </w:r>
      <w:r w:rsidR="00AF04B4">
        <w:rPr>
          <w:rFonts w:eastAsiaTheme="minorEastAsia"/>
        </w:rPr>
        <w:t xml:space="preserve"> </w:t>
      </w:r>
      <w:r>
        <w:rPr>
          <w:rFonts w:eastAsiaTheme="minorEastAsia"/>
        </w:rPr>
        <w:t>(D). A equação pode ser apresentada como:</w:t>
      </w:r>
    </w:p>
    <w:p w:rsidR="00844DEA" w:rsidRDefault="00AF04B4" w:rsidP="00844DE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T</m:t>
                      </m:r>
                    </m:sup>
                  </m:sSubSup>
                </m:e>
              </m:d>
            </m:e>
          </m:func>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D</m:t>
              </m:r>
            </m:sup>
          </m:sSubSup>
          <m:r>
            <w:rPr>
              <w:rFonts w:ascii="Cambria Math" w:eastAsiaTheme="minorEastAsia" w:hAnsi="Cambria Math"/>
            </w:rPr>
            <m:t>)</m:t>
          </m:r>
        </m:oMath>
      </m:oMathPara>
    </w:p>
    <w:p w:rsidR="00844DEA" w:rsidRDefault="00264A46" w:rsidP="00742009">
      <w:r>
        <w:t>Sendo:</w:t>
      </w:r>
    </w:p>
    <w:p w:rsidR="00264A46" w:rsidRPr="00264A46" w:rsidRDefault="00AF04B4" w:rsidP="00742009">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T</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m:t>
                  </m:r>
                </m:sup>
              </m:sSup>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D</m:t>
                      </m:r>
                    </m:e>
                  </m:d>
                </m:e>
                <m:sub>
                  <m:r>
                    <w:rPr>
                      <w:rFonts w:ascii="Cambria Math" w:hAnsi="Cambria Math"/>
                    </w:rPr>
                    <m:t>T</m:t>
                  </m:r>
                </m:sub>
              </m:sSub>
            </m:den>
          </m:f>
        </m:oMath>
      </m:oMathPara>
    </w:p>
    <w:p w:rsidR="00264A46" w:rsidRPr="00264A46" w:rsidRDefault="00AF04B4" w:rsidP="00742009">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D</m:t>
              </m:r>
            </m:sup>
          </m:sSubSup>
          <m:r>
            <w:rPr>
              <w:rFonts w:ascii="Cambria Math" w:hAnsi="Cambria Math"/>
            </w:rPr>
            <m:t>=</m:t>
          </m:r>
          <m:d>
            <m:dPr>
              <m:begChr m:val="〈"/>
              <m:endChr m:val="〉"/>
              <m:ctrlPr>
                <w:rPr>
                  <w:rFonts w:ascii="Cambria Math" w:hAnsi="Cambria Math"/>
                  <w:i/>
                </w:rPr>
              </m:ctrlPr>
            </m:dPr>
            <m:e>
              <m:r>
                <m:rPr>
                  <m:sty m:val="p"/>
                </m:rPr>
                <w:rPr>
                  <w:rFonts w:ascii="Cambria Math" w:hAnsi="Cambria Math"/>
                </w:rPr>
                <m:t>exp⁡</m:t>
              </m:r>
              <m:r>
                <w:rPr>
                  <w:rFonts w:ascii="Cambria Math" w:hAnsi="Cambria Math"/>
                </w:rPr>
                <m:t>(2πil</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e>
          </m:d>
        </m:oMath>
      </m:oMathPara>
    </w:p>
    <w:p w:rsidR="00264A46" w:rsidRDefault="00264A46" w:rsidP="00742009">
      <w:pPr>
        <w:rPr>
          <w:rFonts w:eastAsiaTheme="minorEastAsia"/>
        </w:rPr>
      </w:pPr>
      <w:r>
        <w:rPr>
          <w:rFonts w:eastAsiaTheme="minorEastAsia"/>
        </w:rPr>
        <w:t>É mais conveniente expressar a deformação</w:t>
      </w:r>
      <w:r w:rsidR="006A518E">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D</m:t>
            </m:r>
          </m:sup>
        </m:sSubSup>
      </m:oMath>
      <w:r w:rsidR="006A518E">
        <w:rPr>
          <w:rFonts w:eastAsiaTheme="minorEastAsia"/>
        </w:rPr>
        <w:t xml:space="preserve"> em termos de microtensão:</w:t>
      </w:r>
    </w:p>
    <w:p w:rsidR="006A518E" w:rsidRPr="003A1800" w:rsidRDefault="00AF04B4" w:rsidP="00742009">
      <w:pPr>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D</m:t>
              </m:r>
            </m:sup>
          </m:sSup>
          <m:d>
            <m:dPr>
              <m:ctrlPr>
                <w:rPr>
                  <w:rFonts w:ascii="Cambria Math" w:hAnsi="Cambria Math"/>
                  <w:i/>
                </w:rPr>
              </m:ctrlPr>
            </m:dPr>
            <m:e>
              <m:r>
                <w:rPr>
                  <w:rFonts w:ascii="Cambria Math" w:hAnsi="Cambria Math"/>
                </w:rPr>
                <m:t>L</m:t>
              </m:r>
            </m:e>
          </m:d>
          <m:r>
            <w:rPr>
              <w:rFonts w:ascii="Cambria Math" w:hAnsi="Cambria Math"/>
            </w:rPr>
            <m:t>=</m:t>
          </m:r>
          <m:d>
            <m:dPr>
              <m:begChr m:val="〈"/>
              <m:endChr m:val="〉"/>
              <m:ctrlPr>
                <w:rPr>
                  <w:rFonts w:ascii="Cambria Math" w:hAnsi="Cambria Math"/>
                  <w:i/>
                </w:rPr>
              </m:ctrlPr>
            </m:dPr>
            <m:e>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2πiLϵ</m:t>
                  </m:r>
                  <m:d>
                    <m:dPr>
                      <m:ctrlPr>
                        <w:rPr>
                          <w:rFonts w:ascii="Cambria Math" w:hAnsi="Cambria Math"/>
                          <w:i/>
                        </w:rPr>
                      </m:ctrlPr>
                    </m:dPr>
                    <m:e>
                      <m:r>
                        <w:rPr>
                          <w:rFonts w:ascii="Cambria Math" w:hAnsi="Cambria Math"/>
                        </w:rPr>
                        <m:t>L</m:t>
                      </m:r>
                    </m:e>
                  </m:d>
                </m:num>
                <m:den>
                  <m:r>
                    <w:rPr>
                      <w:rFonts w:ascii="Cambria Math" w:hAnsi="Cambria Math"/>
                    </w:rPr>
                    <m:t>d</m:t>
                  </m:r>
                </m:den>
              </m:f>
              <m:r>
                <w:rPr>
                  <w:rFonts w:ascii="Cambria Math" w:hAnsi="Cambria Math"/>
                </w:rPr>
                <m:t>)</m:t>
              </m:r>
            </m:e>
          </m:d>
        </m:oMath>
      </m:oMathPara>
    </w:p>
    <w:p w:rsidR="003A1800" w:rsidRDefault="003A1800" w:rsidP="00742009">
      <w:pPr>
        <w:rPr>
          <w:rFonts w:eastAsiaTheme="minorEastAsia"/>
        </w:rPr>
      </w:pPr>
      <w:r>
        <w:rPr>
          <w:rFonts w:eastAsiaTheme="minorEastAsia"/>
        </w:rPr>
        <w:t>Para aproximar da microtensão deve-se aproximar o valor da exponencial para valores não muito grandes de L.</w:t>
      </w:r>
    </w:p>
    <w:p w:rsidR="003A1800" w:rsidRPr="003A1800" w:rsidRDefault="00AF04B4" w:rsidP="003A1800">
      <w:pPr>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D</m:t>
              </m:r>
            </m:sup>
          </m:sSup>
          <m:d>
            <m:dPr>
              <m:ctrlPr>
                <w:rPr>
                  <w:rFonts w:ascii="Cambria Math" w:hAnsi="Cambria Math"/>
                  <w:i/>
                </w:rPr>
              </m:ctrlPr>
            </m:dPr>
            <m:e>
              <m:r>
                <w:rPr>
                  <w:rFonts w:ascii="Cambria Math" w:hAnsi="Cambria Math"/>
                </w:rPr>
                <m:t>L</m:t>
              </m:r>
            </m:e>
          </m:d>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ι</m:t>
              </m:r>
            </m:e>
            <m:sup>
              <m:r>
                <w:rPr>
                  <w:rFonts w:ascii="Cambria Math" w:hAnsi="Cambria Math"/>
                </w:rPr>
                <m:t>2</m:t>
              </m:r>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e>
          </m:d>
        </m:oMath>
      </m:oMathPara>
    </w:p>
    <w:p w:rsidR="003A1800" w:rsidRDefault="003A1800" w:rsidP="00742009">
      <w:r>
        <w:t xml:space="preserve">Assim, utilizando múltiplas ordens de deflexão, é possível através dos coeficientes </w:t>
      </w:r>
      <w:r w:rsidR="005C51A2">
        <w:t xml:space="preserve">L obter </w:t>
      </w:r>
      <w:r>
        <w:t>os valores de tamanho de cristalito e microtensão.</w:t>
      </w:r>
    </w:p>
    <w:p w:rsidR="003A1800" w:rsidRDefault="003A1800" w:rsidP="003A1800">
      <w:pPr>
        <w:keepNext/>
        <w:jc w:val="center"/>
      </w:pPr>
      <w:r>
        <w:rPr>
          <w:noProof/>
          <w:lang w:eastAsia="pt-BR"/>
        </w:rPr>
        <w:lastRenderedPageBreak/>
        <w:drawing>
          <wp:inline distT="0" distB="0" distL="0" distR="0" wp14:anchorId="73BA740B" wp14:editId="5302B1FF">
            <wp:extent cx="3886200" cy="27779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6200" cy="2777940"/>
                    </a:xfrm>
                    <a:prstGeom prst="rect">
                      <a:avLst/>
                    </a:prstGeom>
                  </pic:spPr>
                </pic:pic>
              </a:graphicData>
            </a:graphic>
          </wp:inline>
        </w:drawing>
      </w:r>
    </w:p>
    <w:p w:rsidR="003A1800" w:rsidRDefault="003A1800" w:rsidP="003A1800">
      <w:pPr>
        <w:pStyle w:val="Legenda"/>
      </w:pPr>
      <w:r>
        <w:t xml:space="preserve">Figura </w:t>
      </w:r>
      <w:r w:rsidR="00AF04B4">
        <w:fldChar w:fldCharType="begin"/>
      </w:r>
      <w:r w:rsidR="00AF04B4">
        <w:instrText xml:space="preserve"> STYLEREF 1 \s </w:instrText>
      </w:r>
      <w:r w:rsidR="00AF04B4">
        <w:fldChar w:fldCharType="separate"/>
      </w:r>
      <w:r w:rsidR="007820C9">
        <w:rPr>
          <w:noProof/>
        </w:rPr>
        <w:t>2.4</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2</w:t>
      </w:r>
      <w:r w:rsidR="00AF04B4">
        <w:rPr>
          <w:noProof/>
        </w:rPr>
        <w:fldChar w:fldCharType="end"/>
      </w:r>
      <w:r>
        <w:t xml:space="preserve"> </w:t>
      </w:r>
      <w:r w:rsidR="0047702A">
        <w:t>Gráfico</w:t>
      </w:r>
      <w:r>
        <w:t xml:space="preserve"> de W-A</w:t>
      </w:r>
      <w:r w:rsidR="0047702A">
        <w:t xml:space="preserve"> da literatura</w:t>
      </w:r>
    </w:p>
    <w:p w:rsidR="003A1800" w:rsidRPr="003A1800" w:rsidRDefault="003A1800" w:rsidP="003A1800"/>
    <w:p w:rsidR="00E87F82" w:rsidRPr="00E87F82" w:rsidRDefault="00E87F82" w:rsidP="00E87F82">
      <w:pPr>
        <w:pStyle w:val="PargrafodaLista"/>
        <w:numPr>
          <w:ilvl w:val="2"/>
          <w:numId w:val="1"/>
        </w:numPr>
        <w:ind w:left="1416" w:hanging="696"/>
        <w:rPr>
          <w:b/>
        </w:rPr>
      </w:pPr>
      <w:r w:rsidRPr="00E87F82">
        <w:rPr>
          <w:b/>
        </w:rPr>
        <w:t>Dimensões dos números Harmônicos</w:t>
      </w:r>
    </w:p>
    <w:p w:rsidR="00B75AA3" w:rsidRDefault="00B75AA3" w:rsidP="00B75AA3">
      <w:r>
        <w:t>Para aplicação do Método de Warren-Averbach é necessário a utilização das transfor</w:t>
      </w:r>
      <w:r w:rsidR="0047702A">
        <w:t>madas de Fourier no espaço real.</w:t>
      </w:r>
      <w:r>
        <w:t xml:space="preserve"> A equação de Fourier está apresentada abaixo:</w:t>
      </w:r>
    </w:p>
    <w:p w:rsidR="00B75AA3" w:rsidRPr="004B3A89" w:rsidRDefault="004B3A89" w:rsidP="00B75AA3">
      <w:pPr>
        <w:rPr>
          <w:sz w:val="28"/>
        </w:rPr>
      </w:pPr>
      <m:oMathPara>
        <m:oMath>
          <m:r>
            <w:rPr>
              <w:rFonts w:ascii="Cambria Math" w:hAnsi="Cambria Math"/>
              <w:sz w:val="28"/>
            </w:rPr>
            <m:t>F</m:t>
          </m:r>
          <m:d>
            <m:dPr>
              <m:ctrlPr>
                <w:rPr>
                  <w:rFonts w:ascii="Cambria Math" w:hAnsi="Cambria Math"/>
                  <w:i/>
                  <w:sz w:val="28"/>
                </w:rPr>
              </m:ctrlPr>
            </m:dPr>
            <m:e>
              <m:r>
                <w:rPr>
                  <w:rFonts w:ascii="Cambria Math" w:hAnsi="Cambria Math"/>
                  <w:sz w:val="28"/>
                </w:rPr>
                <m:t>μ</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nary>
            <m:naryPr>
              <m:chr m:val="∑"/>
              <m:limLoc m:val="undOvr"/>
              <m:ctrlPr>
                <w:rPr>
                  <w:rFonts w:ascii="Cambria Math" w:hAnsi="Cambria Math"/>
                  <w:i/>
                  <w:sz w:val="28"/>
                </w:rPr>
              </m:ctrlPr>
            </m:naryPr>
            <m:sub>
              <m:r>
                <w:rPr>
                  <w:rFonts w:ascii="Cambria Math" w:hAnsi="Cambria Math"/>
                  <w:sz w:val="28"/>
                </w:rPr>
                <m:t>x=0</m:t>
              </m:r>
            </m:sub>
            <m:sup>
              <m:r>
                <w:rPr>
                  <w:rFonts w:ascii="Cambria Math" w:hAnsi="Cambria Math"/>
                  <w:sz w:val="28"/>
                </w:rPr>
                <m:t>N-1</m:t>
              </m:r>
            </m:sup>
            <m:e>
              <m:r>
                <w:rPr>
                  <w:rFonts w:ascii="Cambria Math" w:hAnsi="Cambria Math"/>
                  <w:sz w:val="28"/>
                </w:rPr>
                <m:t>f(x)</m:t>
              </m:r>
              <m:d>
                <m:dPr>
                  <m:begChr m:val="["/>
                  <m:endChr m:val="]"/>
                  <m:ctrlPr>
                    <w:rPr>
                      <w:rFonts w:ascii="Cambria Math" w:hAnsi="Cambria Math"/>
                      <w:i/>
                      <w:sz w:val="28"/>
                    </w:rPr>
                  </m:ctrlPr>
                </m:dPr>
                <m:e>
                  <m:func>
                    <m:funcPr>
                      <m:ctrlPr>
                        <w:rPr>
                          <w:rFonts w:ascii="Cambria Math" w:hAnsi="Cambria Math"/>
                          <w:i/>
                          <w:sz w:val="28"/>
                        </w:rPr>
                      </m:ctrlPr>
                    </m:funcPr>
                    <m:fName>
                      <m:r>
                        <m:rPr>
                          <m:sty m:val="p"/>
                        </m:rPr>
                        <w:rPr>
                          <w:rFonts w:ascii="Cambria Math" w:hAnsi="Cambria Math"/>
                          <w:sz w:val="28"/>
                        </w:rPr>
                        <m:t>cos</m:t>
                      </m:r>
                    </m:fName>
                    <m:e>
                      <m:d>
                        <m:dPr>
                          <m:ctrlPr>
                            <w:rPr>
                              <w:rFonts w:ascii="Cambria Math" w:hAnsi="Cambria Math"/>
                              <w:i/>
                              <w:sz w:val="28"/>
                            </w:rPr>
                          </m:ctrlPr>
                        </m:dPr>
                        <m:e>
                          <m:f>
                            <m:fPr>
                              <m:type m:val="skw"/>
                              <m:ctrlPr>
                                <w:rPr>
                                  <w:rFonts w:ascii="Cambria Math" w:hAnsi="Cambria Math"/>
                                  <w:i/>
                                  <w:sz w:val="28"/>
                                </w:rPr>
                              </m:ctrlPr>
                            </m:fPr>
                            <m:num>
                              <m:r>
                                <w:rPr>
                                  <w:rFonts w:ascii="Cambria Math" w:hAnsi="Cambria Math"/>
                                  <w:sz w:val="28"/>
                                </w:rPr>
                                <m:t>2πμx</m:t>
                              </m:r>
                            </m:num>
                            <m:den>
                              <m:r>
                                <w:rPr>
                                  <w:rFonts w:ascii="Cambria Math" w:hAnsi="Cambria Math"/>
                                  <w:sz w:val="28"/>
                                </w:rPr>
                                <m:t>N</m:t>
                              </m:r>
                            </m:den>
                          </m:f>
                        </m:e>
                      </m:d>
                      <m:r>
                        <w:rPr>
                          <w:rFonts w:ascii="Cambria Math" w:hAnsi="Cambria Math"/>
                          <w:sz w:val="28"/>
                        </w:rPr>
                        <m:t>+i</m:t>
                      </m:r>
                      <m:func>
                        <m:funcPr>
                          <m:ctrlPr>
                            <w:rPr>
                              <w:rFonts w:ascii="Cambria Math" w:hAnsi="Cambria Math"/>
                              <w:i/>
                              <w:sz w:val="28"/>
                            </w:rPr>
                          </m:ctrlPr>
                        </m:funcPr>
                        <m:fName>
                          <m:r>
                            <m:rPr>
                              <m:sty m:val="p"/>
                            </m:rPr>
                            <w:rPr>
                              <w:rFonts w:ascii="Cambria Math" w:hAnsi="Cambria Math"/>
                              <w:sz w:val="28"/>
                            </w:rPr>
                            <m:t>sin</m:t>
                          </m:r>
                        </m:fName>
                        <m:e>
                          <m:d>
                            <m:dPr>
                              <m:ctrlPr>
                                <w:rPr>
                                  <w:rFonts w:ascii="Cambria Math" w:hAnsi="Cambria Math"/>
                                  <w:i/>
                                  <w:sz w:val="28"/>
                                </w:rPr>
                              </m:ctrlPr>
                            </m:dPr>
                            <m:e>
                              <m:f>
                                <m:fPr>
                                  <m:type m:val="skw"/>
                                  <m:ctrlPr>
                                    <w:rPr>
                                      <w:rFonts w:ascii="Cambria Math" w:hAnsi="Cambria Math"/>
                                      <w:i/>
                                      <w:sz w:val="28"/>
                                    </w:rPr>
                                  </m:ctrlPr>
                                </m:fPr>
                                <m:num>
                                  <m:r>
                                    <w:rPr>
                                      <w:rFonts w:ascii="Cambria Math" w:hAnsi="Cambria Math"/>
                                      <w:sz w:val="28"/>
                                    </w:rPr>
                                    <m:t>2πμx</m:t>
                                  </m:r>
                                </m:num>
                                <m:den>
                                  <m:r>
                                    <w:rPr>
                                      <w:rFonts w:ascii="Cambria Math" w:hAnsi="Cambria Math"/>
                                      <w:sz w:val="28"/>
                                    </w:rPr>
                                    <m:t>N</m:t>
                                  </m:r>
                                </m:den>
                              </m:f>
                            </m:e>
                          </m:d>
                        </m:e>
                      </m:func>
                    </m:e>
                  </m:func>
                </m:e>
              </m:d>
            </m:e>
          </m:nary>
        </m:oMath>
      </m:oMathPara>
    </w:p>
    <w:p w:rsidR="00B75AA3" w:rsidRDefault="00B75AA3" w:rsidP="00E87F82">
      <w:pPr>
        <w:jc w:val="center"/>
      </w:pPr>
    </w:p>
    <w:p w:rsidR="00B75AA3" w:rsidRDefault="00B75AA3" w:rsidP="00B75AA3">
      <w:r>
        <w:t>Tal equação pode ser separada em dois termos</w:t>
      </w:r>
      <w:r w:rsidR="004B3A89">
        <w:t xml:space="preserve"> um</w:t>
      </w:r>
      <w:r>
        <w:t xml:space="preserve"> rea</w:t>
      </w:r>
      <w:r w:rsidR="004B3A89">
        <w:t>l</w:t>
      </w:r>
      <w:r>
        <w:t xml:space="preserve"> e </w:t>
      </w:r>
      <w:r w:rsidR="004B3A89">
        <w:t>outro imaginário</w:t>
      </w:r>
      <w:r>
        <w:t>:</w:t>
      </w:r>
    </w:p>
    <w:p w:rsidR="004B3A89" w:rsidRPr="004B3A89" w:rsidRDefault="004B3A89" w:rsidP="00B75AA3">
      <w:pPr>
        <w:rPr>
          <w:rFonts w:eastAsiaTheme="minorEastAsia"/>
          <w:sz w:val="32"/>
        </w:rPr>
      </w:pPr>
      <m:oMathPara>
        <m:oMath>
          <m:r>
            <w:rPr>
              <w:rFonts w:ascii="Cambria Math" w:hAnsi="Cambria Math"/>
              <w:sz w:val="32"/>
            </w:rPr>
            <m:t>A</m:t>
          </m:r>
          <m:d>
            <m:dPr>
              <m:ctrlPr>
                <w:rPr>
                  <w:rFonts w:ascii="Cambria Math" w:hAnsi="Cambria Math"/>
                  <w:i/>
                  <w:sz w:val="32"/>
                </w:rPr>
              </m:ctrlPr>
            </m:dPr>
            <m:e>
              <m:r>
                <w:rPr>
                  <w:rFonts w:ascii="Cambria Math" w:hAnsi="Cambria Math"/>
                  <w:sz w:val="32"/>
                </w:rPr>
                <m:t>μ</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x=0</m:t>
              </m:r>
            </m:sub>
            <m:sup>
              <m:r>
                <w:rPr>
                  <w:rFonts w:ascii="Cambria Math" w:hAnsi="Cambria Math"/>
                  <w:sz w:val="32"/>
                </w:rPr>
                <m:t>N-1</m:t>
              </m:r>
            </m:sup>
            <m:e>
              <m:r>
                <w:rPr>
                  <w:rFonts w:ascii="Cambria Math" w:hAnsi="Cambria Math"/>
                  <w:sz w:val="32"/>
                </w:rPr>
                <m:t>f(x)</m:t>
              </m:r>
              <m:d>
                <m:dPr>
                  <m:begChr m:val="["/>
                  <m:endChr m:val="]"/>
                  <m:ctrlPr>
                    <w:rPr>
                      <w:rFonts w:ascii="Cambria Math" w:hAnsi="Cambria Math"/>
                      <w:i/>
                      <w:sz w:val="32"/>
                    </w:rPr>
                  </m:ctrlPr>
                </m:dPr>
                <m:e>
                  <m:func>
                    <m:funcPr>
                      <m:ctrlPr>
                        <w:rPr>
                          <w:rFonts w:ascii="Cambria Math" w:hAnsi="Cambria Math"/>
                          <w:i/>
                          <w:sz w:val="32"/>
                        </w:rPr>
                      </m:ctrlPr>
                    </m:funcPr>
                    <m:fName>
                      <m:r>
                        <m:rPr>
                          <m:sty m:val="p"/>
                        </m:rPr>
                        <w:rPr>
                          <w:rFonts w:ascii="Cambria Math" w:hAnsi="Cambria Math"/>
                          <w:sz w:val="32"/>
                        </w:rPr>
                        <m:t>cos</m:t>
                      </m:r>
                    </m:fName>
                    <m:e>
                      <m:d>
                        <m:dPr>
                          <m:ctrlPr>
                            <w:rPr>
                              <w:rFonts w:ascii="Cambria Math" w:hAnsi="Cambria Math"/>
                              <w:i/>
                              <w:sz w:val="32"/>
                            </w:rPr>
                          </m:ctrlPr>
                        </m:dPr>
                        <m:e>
                          <m:f>
                            <m:fPr>
                              <m:type m:val="skw"/>
                              <m:ctrlPr>
                                <w:rPr>
                                  <w:rFonts w:ascii="Cambria Math" w:hAnsi="Cambria Math"/>
                                  <w:i/>
                                  <w:sz w:val="32"/>
                                </w:rPr>
                              </m:ctrlPr>
                            </m:fPr>
                            <m:num>
                              <m:r>
                                <w:rPr>
                                  <w:rFonts w:ascii="Cambria Math" w:hAnsi="Cambria Math"/>
                                  <w:sz w:val="32"/>
                                </w:rPr>
                                <m:t>2πμx</m:t>
                              </m:r>
                            </m:num>
                            <m:den>
                              <m:r>
                                <w:rPr>
                                  <w:rFonts w:ascii="Cambria Math" w:hAnsi="Cambria Math"/>
                                  <w:sz w:val="32"/>
                                </w:rPr>
                                <m:t>N</m:t>
                              </m:r>
                            </m:den>
                          </m:f>
                        </m:e>
                      </m:d>
                    </m:e>
                  </m:func>
                </m:e>
              </m:d>
            </m:e>
          </m:nary>
        </m:oMath>
      </m:oMathPara>
    </w:p>
    <w:p w:rsidR="004B3A89" w:rsidRPr="004B3A89" w:rsidRDefault="004B3A89" w:rsidP="004B3A89">
      <w:pPr>
        <w:rPr>
          <w:sz w:val="28"/>
        </w:rPr>
      </w:pPr>
      <m:oMathPara>
        <m:oMath>
          <m:r>
            <w:rPr>
              <w:rFonts w:ascii="Cambria Math" w:hAnsi="Cambria Math"/>
              <w:sz w:val="32"/>
            </w:rPr>
            <m:t>B</m:t>
          </m:r>
          <m:d>
            <m:dPr>
              <m:ctrlPr>
                <w:rPr>
                  <w:rFonts w:ascii="Cambria Math" w:hAnsi="Cambria Math"/>
                  <w:i/>
                  <w:sz w:val="32"/>
                </w:rPr>
              </m:ctrlPr>
            </m:dPr>
            <m:e>
              <m:r>
                <w:rPr>
                  <w:rFonts w:ascii="Cambria Math" w:hAnsi="Cambria Math"/>
                  <w:sz w:val="32"/>
                </w:rPr>
                <m:t>μ</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x=0</m:t>
              </m:r>
            </m:sub>
            <m:sup>
              <m:r>
                <w:rPr>
                  <w:rFonts w:ascii="Cambria Math" w:hAnsi="Cambria Math"/>
                  <w:sz w:val="32"/>
                </w:rPr>
                <m:t>N-1</m:t>
              </m:r>
            </m:sup>
            <m:e>
              <m:r>
                <w:rPr>
                  <w:rFonts w:ascii="Cambria Math" w:hAnsi="Cambria Math"/>
                  <w:sz w:val="32"/>
                </w:rPr>
                <m:t>f(x)</m:t>
              </m:r>
              <m:d>
                <m:dPr>
                  <m:begChr m:val="["/>
                  <m:endChr m:val="]"/>
                  <m:ctrlPr>
                    <w:rPr>
                      <w:rFonts w:ascii="Cambria Math" w:hAnsi="Cambria Math"/>
                      <w:i/>
                      <w:sz w:val="32"/>
                    </w:rPr>
                  </m:ctrlPr>
                </m:dPr>
                <m:e>
                  <m:r>
                    <w:rPr>
                      <w:rFonts w:ascii="Cambria Math" w:hAnsi="Cambria Math"/>
                      <w:sz w:val="32"/>
                    </w:rPr>
                    <m:t>i</m:t>
                  </m:r>
                  <m:func>
                    <m:funcPr>
                      <m:ctrlPr>
                        <w:rPr>
                          <w:rFonts w:ascii="Cambria Math" w:hAnsi="Cambria Math"/>
                          <w:i/>
                          <w:sz w:val="32"/>
                        </w:rPr>
                      </m:ctrlPr>
                    </m:funcPr>
                    <m:fName>
                      <m:r>
                        <m:rPr>
                          <m:sty m:val="p"/>
                        </m:rPr>
                        <w:rPr>
                          <w:rFonts w:ascii="Cambria Math" w:hAnsi="Cambria Math"/>
                          <w:sz w:val="32"/>
                        </w:rPr>
                        <m:t>sin</m:t>
                      </m:r>
                    </m:fName>
                    <m:e>
                      <m:d>
                        <m:dPr>
                          <m:ctrlPr>
                            <w:rPr>
                              <w:rFonts w:ascii="Cambria Math" w:hAnsi="Cambria Math"/>
                              <w:i/>
                              <w:sz w:val="32"/>
                            </w:rPr>
                          </m:ctrlPr>
                        </m:dPr>
                        <m:e>
                          <m:f>
                            <m:fPr>
                              <m:type m:val="skw"/>
                              <m:ctrlPr>
                                <w:rPr>
                                  <w:rFonts w:ascii="Cambria Math" w:hAnsi="Cambria Math"/>
                                  <w:i/>
                                  <w:sz w:val="32"/>
                                </w:rPr>
                              </m:ctrlPr>
                            </m:fPr>
                            <m:num>
                              <m:r>
                                <w:rPr>
                                  <w:rFonts w:ascii="Cambria Math" w:hAnsi="Cambria Math"/>
                                  <w:sz w:val="32"/>
                                </w:rPr>
                                <m:t>2πμx</m:t>
                              </m:r>
                            </m:num>
                            <m:den>
                              <m:r>
                                <w:rPr>
                                  <w:rFonts w:ascii="Cambria Math" w:hAnsi="Cambria Math"/>
                                  <w:sz w:val="32"/>
                                </w:rPr>
                                <m:t>N</m:t>
                              </m:r>
                            </m:den>
                          </m:f>
                        </m:e>
                      </m:d>
                    </m:e>
                  </m:func>
                </m:e>
              </m:d>
            </m:e>
          </m:nary>
        </m:oMath>
      </m:oMathPara>
    </w:p>
    <w:p w:rsidR="004B3A89" w:rsidRDefault="004B3A89" w:rsidP="00B75AA3"/>
    <w:p w:rsidR="00E87F82" w:rsidRPr="00E87F82" w:rsidRDefault="004B3A89" w:rsidP="00B75AA3">
      <w:pPr>
        <w:rPr>
          <w:sz w:val="32"/>
        </w:rPr>
      </w:pPr>
      <m:oMathPara>
        <m:oMath>
          <m:r>
            <w:rPr>
              <w:rFonts w:ascii="Cambria Math" w:hAnsi="Cambria Math"/>
              <w:sz w:val="32"/>
            </w:rPr>
            <m:t>μ=1,2,3,4…,N</m:t>
          </m:r>
        </m:oMath>
      </m:oMathPara>
    </w:p>
    <w:p w:rsidR="00B75AA3" w:rsidRPr="00B75AA3" w:rsidRDefault="00B75AA3" w:rsidP="00B75AA3">
      <w:r>
        <w:t xml:space="preserve">Onde f(x) é a intensidade do perfil, x é a posição dividido por dois e se deve fazer a conversão de graus para radianos. </w:t>
      </w:r>
    </w:p>
    <w:p w:rsidR="00E87F82" w:rsidRDefault="00E87F82" w:rsidP="00E87F82">
      <w:pPr>
        <w:keepNext/>
        <w:jc w:val="center"/>
      </w:pPr>
      <w:r w:rsidRPr="00E87F82">
        <w:rPr>
          <w:noProof/>
          <w:lang w:eastAsia="pt-BR"/>
        </w:rPr>
        <w:lastRenderedPageBreak/>
        <w:drawing>
          <wp:inline distT="0" distB="0" distL="0" distR="0" wp14:anchorId="297361F9" wp14:editId="4A825B3B">
            <wp:extent cx="2914650" cy="1724025"/>
            <wp:effectExtent l="19050" t="0" r="0" b="0"/>
            <wp:docPr id="13" name="Imagem 3"/>
            <wp:cNvGraphicFramePr/>
            <a:graphic xmlns:a="http://schemas.openxmlformats.org/drawingml/2006/main">
              <a:graphicData uri="http://schemas.openxmlformats.org/drawingml/2006/picture">
                <pic:pic xmlns:pic="http://schemas.openxmlformats.org/drawingml/2006/picture">
                  <pic:nvPicPr>
                    <pic:cNvPr id="11" name="Imagem 10"/>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334" cy="1723838"/>
                    </a:xfrm>
                    <a:prstGeom prst="rect">
                      <a:avLst/>
                    </a:prstGeom>
                    <a:noFill/>
                    <a:ln>
                      <a:noFill/>
                    </a:ln>
                  </pic:spPr>
                </pic:pic>
              </a:graphicData>
            </a:graphic>
          </wp:inline>
        </w:drawing>
      </w:r>
    </w:p>
    <w:p w:rsidR="00CD7280" w:rsidRDefault="00E87F82"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2.4</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3</w:t>
      </w:r>
      <w:r w:rsidR="00AF04B4">
        <w:rPr>
          <w:noProof/>
        </w:rPr>
        <w:fldChar w:fldCharType="end"/>
      </w:r>
      <w:r>
        <w:t xml:space="preserve"> Figura da literatura apresentando o </w:t>
      </w:r>
      <w:proofErr w:type="spellStart"/>
      <w:r>
        <w:t>intercept</w:t>
      </w:r>
      <w:proofErr w:type="spellEnd"/>
      <w:r>
        <w:t xml:space="preserve"> para determinação do tamanho médio de cristalito</w:t>
      </w:r>
    </w:p>
    <w:p w:rsidR="00E87F82" w:rsidRDefault="00E87F82" w:rsidP="00E87F82">
      <w:r>
        <w:t>Para a transformação dos números harmônicos que são adimensionais em valores físicos com dimensões de tamanho</w:t>
      </w:r>
      <w:r w:rsidR="004B3A89">
        <w:t xml:space="preserve"> (L)</w:t>
      </w:r>
      <w:r>
        <w:t>, deve-se multiplicar os valores harmônicos (n), pelo comprimento de onda (</w:t>
      </w:r>
      <m:oMath>
        <m:r>
          <w:rPr>
            <w:rFonts w:ascii="Cambria Math" w:hAnsi="Cambria Math"/>
          </w:rPr>
          <m:t>λ)</m:t>
        </m:r>
      </m:oMath>
      <w:r>
        <w:t xml:space="preserve"> e dividido pela razão dos senos d</w:t>
      </w:r>
      <w:r w:rsidR="004B3A89">
        <w:t>o</w:t>
      </w:r>
      <w:r>
        <w:t>s ângulos onde terminam e iniciam o pico de difração.</w:t>
      </w:r>
    </w:p>
    <w:p w:rsidR="00E87F82" w:rsidRDefault="00E87F82" w:rsidP="00E87F82">
      <w:pPr>
        <w:rPr>
          <w:rFonts w:eastAsiaTheme="minorEastAsia"/>
          <w:sz w:val="28"/>
        </w:rPr>
      </w:pPr>
      <m:oMathPara>
        <m:oMath>
          <m:r>
            <w:rPr>
              <w:rFonts w:ascii="Cambria Math" w:hAnsi="Cambria Math"/>
              <w:sz w:val="28"/>
            </w:rPr>
            <m:t>L=</m:t>
          </m:r>
          <m:f>
            <m:fPr>
              <m:ctrlPr>
                <w:rPr>
                  <w:rFonts w:ascii="Cambria Math" w:hAnsi="Cambria Math"/>
                  <w:i/>
                  <w:sz w:val="28"/>
                </w:rPr>
              </m:ctrlPr>
            </m:fPr>
            <m:num>
              <m:r>
                <w:rPr>
                  <w:rFonts w:ascii="Cambria Math" w:hAnsi="Cambria Math"/>
                  <w:sz w:val="28"/>
                </w:rPr>
                <m:t>μλ</m:t>
              </m:r>
            </m:num>
            <m:den>
              <m:r>
                <w:rPr>
                  <w:rFonts w:ascii="Cambria Math" w:hAnsi="Cambria Math"/>
                  <w:sz w:val="28"/>
                </w:rPr>
                <m:t>2</m:t>
              </m:r>
              <m:d>
                <m:dPr>
                  <m:ctrlPr>
                    <w:rPr>
                      <w:rFonts w:ascii="Cambria Math" w:hAnsi="Cambria Math"/>
                      <w:i/>
                      <w:sz w:val="28"/>
                    </w:rPr>
                  </m:ctrlPr>
                </m:dPr>
                <m:e>
                  <m:func>
                    <m:funcPr>
                      <m:ctrlPr>
                        <w:rPr>
                          <w:rFonts w:ascii="Cambria Math" w:hAnsi="Cambria Math"/>
                          <w:i/>
                          <w:sz w:val="28"/>
                        </w:rPr>
                      </m:ctrlPr>
                    </m:funcPr>
                    <m:fName>
                      <m:r>
                        <m:rPr>
                          <m:sty m:val="p"/>
                        </m:rPr>
                        <w:rPr>
                          <w:rFonts w:ascii="Cambria Math" w:hAnsi="Cambria Math"/>
                          <w:sz w:val="28"/>
                        </w:rPr>
                        <m:t>sin</m:t>
                      </m:r>
                    </m:fName>
                    <m:e>
                      <m:sSub>
                        <m:sSubPr>
                          <m:ctrlPr>
                            <w:rPr>
                              <w:rFonts w:ascii="Cambria Math" w:hAnsi="Cambria Math"/>
                              <w:i/>
                              <w:sz w:val="28"/>
                            </w:rPr>
                          </m:ctrlPr>
                        </m:sSubPr>
                        <m:e>
                          <m:r>
                            <w:rPr>
                              <w:rFonts w:ascii="Cambria Math" w:hAnsi="Cambria Math"/>
                              <w:sz w:val="28"/>
                            </w:rPr>
                            <m:t>θ</m:t>
                          </m:r>
                        </m:e>
                        <m:sub>
                          <m:r>
                            <w:rPr>
                              <w:rFonts w:ascii="Cambria Math" w:hAnsi="Cambria Math"/>
                              <w:sz w:val="28"/>
                            </w:rPr>
                            <m:t>2</m:t>
                          </m:r>
                        </m:sub>
                      </m:sSub>
                    </m:e>
                  </m:func>
                  <m:r>
                    <w:rPr>
                      <w:rFonts w:ascii="Cambria Math" w:hAnsi="Cambria Math"/>
                      <w:sz w:val="28"/>
                    </w:rPr>
                    <m:t>-</m:t>
                  </m:r>
                  <m:func>
                    <m:funcPr>
                      <m:ctrlPr>
                        <w:rPr>
                          <w:rFonts w:ascii="Cambria Math" w:hAnsi="Cambria Math"/>
                          <w:i/>
                          <w:sz w:val="28"/>
                        </w:rPr>
                      </m:ctrlPr>
                    </m:funcPr>
                    <m:fName>
                      <m:r>
                        <m:rPr>
                          <m:sty m:val="p"/>
                        </m:rPr>
                        <w:rPr>
                          <w:rFonts w:ascii="Cambria Math" w:hAnsi="Cambria Math"/>
                          <w:sz w:val="28"/>
                        </w:rPr>
                        <m:t>sin</m:t>
                      </m:r>
                    </m:fName>
                    <m:e>
                      <m:sSub>
                        <m:sSubPr>
                          <m:ctrlPr>
                            <w:rPr>
                              <w:rFonts w:ascii="Cambria Math" w:hAnsi="Cambria Math"/>
                              <w:i/>
                              <w:sz w:val="28"/>
                            </w:rPr>
                          </m:ctrlPr>
                        </m:sSubPr>
                        <m:e>
                          <m:r>
                            <w:rPr>
                              <w:rFonts w:ascii="Cambria Math" w:hAnsi="Cambria Math"/>
                              <w:sz w:val="28"/>
                            </w:rPr>
                            <m:t>θ</m:t>
                          </m:r>
                        </m:e>
                        <m:sub>
                          <m:r>
                            <w:rPr>
                              <w:rFonts w:ascii="Cambria Math" w:hAnsi="Cambria Math"/>
                              <w:sz w:val="28"/>
                            </w:rPr>
                            <m:t>1</m:t>
                          </m:r>
                        </m:sub>
                      </m:sSub>
                    </m:e>
                  </m:func>
                </m:e>
              </m:d>
            </m:den>
          </m:f>
        </m:oMath>
      </m:oMathPara>
    </w:p>
    <w:p w:rsidR="00860D3D" w:rsidRDefault="004B3A89" w:rsidP="004B3A89">
      <w:pPr>
        <w:jc w:val="center"/>
        <w:rPr>
          <w:rFonts w:eastAsiaTheme="minorEastAsia"/>
          <w:sz w:val="28"/>
        </w:rPr>
      </w:pPr>
      <w:r>
        <w:rPr>
          <w:rFonts w:eastAsiaTheme="minorEastAsia"/>
          <w:sz w:val="28"/>
        </w:rPr>
        <w:t>L=Dimensão dos números harmônicos</w:t>
      </w:r>
    </w:p>
    <w:p w:rsidR="007820C9" w:rsidRDefault="007820C9" w:rsidP="007820C9">
      <w:pPr>
        <w:pStyle w:val="Ttulo1"/>
      </w:pPr>
      <w:r>
        <w:t>Distribuição de tamanho de cristalito</w:t>
      </w:r>
    </w:p>
    <w:p w:rsidR="007820C9" w:rsidRDefault="007820C9" w:rsidP="007820C9"/>
    <w:p w:rsidR="007820C9" w:rsidRDefault="007820C9" w:rsidP="007820C9">
      <w:r>
        <w:t>Os valores de tamanho de cristalito ponderados pela área e volume, em vários estudos foi proposto que a distribuição log-normal parece ser a mais apropriada para descrever a distribuição de tamanhos de cristalito</w:t>
      </w:r>
      <w:r>
        <w:fldChar w:fldCharType="begin" w:fldLock="1"/>
      </w:r>
      <w:r w:rsidR="00AF04B4">
        <w:instrText>ADDIN CSL_CITATION { "citationItems" : [ { "id" : "ITEM-1", "itemData" : { "DOI" : "10.1080/01418619808224072", "ISBN" : "0141-8610", "ISSN" : "0141-8610", "abstract" : "Abstract It is well known that the Fourier analysis of X-ray diffraction peak profiles (as implemented by Warren and Averbach) can accurately determine the areaweighted average grain size of a fine-grained sample. Less well known is the fact that this method simultaneously yields a volume-weighted average grain size. Under certain circumstances, knowledge of these two weighted average grain sizes is sufficient to permit reliable estimation of the grain-size distribution, even when the distribution cannot be calculated directly from the Fourier coefficients, as is usually the case. We demonstrate this for a nanocrystalline Pd sample prepared by inert-gas condensation; average grain sizes and the grain-size distribution are estimated by X-ray diffraction profile analysis and compared with the same quantities measured directly by transmission electron microscopy (TEM). Very good agreement between the resulting average grain sizes is achieved only after compensating for the fact that diffraction profile analy...", "author" : [ { "dropping-particle" : "", "family" : "Kril", "given" : "C. E.", "non-dropping-particle" : "", "parse-names" : false, "suffix" : "" }, { "dropping-particle" : "", "family" : "Birringer", "given" : "R.", "non-dropping-particle" : "", "parse-names" : false, "suffix" : "" } ], "container-title" : "Philosophical Magazine A", "id" : "ITEM-1", "issue" : "3", "issued" : { "date-parts" : [ [ "1998" ] ] }, "note" : "NULL", "page" : "621-640", "title" : "Estimating grain-size distributions in nanocrystalline materials from X-ray diffraction profile analysis", "type" : "article-journal", "volume" : "77" }, "uris" : [ "http://www.mendeley.com/documents/?uuid=d69e581d-a221-49f9-9dd1-dda9a42b5972" ] } ], "mendeley" : { "formattedCitation" : "(KRIL; BIRRINGER, 1998)", "plainTextFormattedCitation" : "(KRIL; BIRRINGER, 1998)", "previouslyFormattedCitation" : "(KRIL; BIRRINGER, 1998)" }, "properties" : { "noteIndex" : 0 }, "schema" : "https://github.com/citation-style-language/schema/raw/master/csl-citation.json" }</w:instrText>
      </w:r>
      <w:r>
        <w:fldChar w:fldCharType="separate"/>
      </w:r>
      <w:r w:rsidR="00AF04B4" w:rsidRPr="00AF04B4">
        <w:rPr>
          <w:noProof/>
        </w:rPr>
        <w:t>(KRIL; BIRRINGER, 1998)</w:t>
      </w:r>
      <w:r>
        <w:fldChar w:fldCharType="end"/>
      </w:r>
      <w:r>
        <w:t>.</w:t>
      </w:r>
    </w:p>
    <w:p w:rsidR="007820C9" w:rsidRPr="001D2603" w:rsidRDefault="00AF04B4" w:rsidP="007820C9">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f>
                    <m:fPr>
                      <m:type m:val="skw"/>
                      <m:ctrlPr>
                        <w:rPr>
                          <w:rFonts w:ascii="Cambria Math" w:hAnsi="Cambria Math"/>
                          <w:i/>
                        </w:rPr>
                      </m:ctrlPr>
                    </m:fPr>
                    <m:num>
                      <m:r>
                        <w:rPr>
                          <w:rFonts w:ascii="Cambria Math" w:hAnsi="Cambria Math"/>
                        </w:rPr>
                        <m:t>5</m:t>
                      </m:r>
                    </m:num>
                    <m:den>
                      <m:r>
                        <w:rPr>
                          <w:rFonts w:ascii="Cambria Math" w:hAnsi="Cambria Math"/>
                        </w:rPr>
                        <m:t>2</m:t>
                      </m:r>
                    </m:den>
                  </m:f>
                </m:e>
              </m:d>
              <m:sSup>
                <m:sSupPr>
                  <m:ctrlPr>
                    <w:rPr>
                      <w:rFonts w:ascii="Cambria Math" w:hAnsi="Cambria Math"/>
                      <w:i/>
                    </w:rPr>
                  </m:ctrlPr>
                </m:sSupPr>
                <m:e>
                  <m:r>
                    <w:rPr>
                      <w:rFonts w:ascii="Cambria Math" w:hAnsi="Cambria Math"/>
                    </w:rPr>
                    <m:t>ln</m:t>
                  </m:r>
                </m:e>
                <m:sup>
                  <m:r>
                    <w:rPr>
                      <w:rFonts w:ascii="Cambria Math" w:hAnsi="Cambria Math"/>
                    </w:rPr>
                    <m:t>2</m:t>
                  </m:r>
                </m:sup>
              </m:sSup>
              <m:r>
                <w:rPr>
                  <w:rFonts w:ascii="Cambria Math" w:hAnsi="Cambria Math"/>
                </w:rPr>
                <m:t>σ</m:t>
              </m:r>
            </m:sup>
          </m:sSup>
        </m:oMath>
      </m:oMathPara>
    </w:p>
    <w:p w:rsidR="007820C9" w:rsidRPr="001D2603" w:rsidRDefault="00AF04B4" w:rsidP="007820C9">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f>
                    <m:fPr>
                      <m:type m:val="skw"/>
                      <m:ctrlPr>
                        <w:rPr>
                          <w:rFonts w:ascii="Cambria Math" w:hAnsi="Cambria Math"/>
                          <w:i/>
                        </w:rPr>
                      </m:ctrlPr>
                    </m:fPr>
                    <m:num>
                      <m:r>
                        <w:rPr>
                          <w:rFonts w:ascii="Cambria Math" w:hAnsi="Cambria Math"/>
                        </w:rPr>
                        <m:t>7</m:t>
                      </m:r>
                    </m:num>
                    <m:den>
                      <m:r>
                        <w:rPr>
                          <w:rFonts w:ascii="Cambria Math" w:hAnsi="Cambria Math"/>
                        </w:rPr>
                        <m:t>2</m:t>
                      </m:r>
                    </m:den>
                  </m:f>
                </m:e>
              </m:d>
              <m:sSup>
                <m:sSupPr>
                  <m:ctrlPr>
                    <w:rPr>
                      <w:rFonts w:ascii="Cambria Math" w:hAnsi="Cambria Math"/>
                      <w:i/>
                    </w:rPr>
                  </m:ctrlPr>
                </m:sSupPr>
                <m:e>
                  <m:r>
                    <w:rPr>
                      <w:rFonts w:ascii="Cambria Math" w:hAnsi="Cambria Math"/>
                    </w:rPr>
                    <m:t>ln</m:t>
                  </m:r>
                </m:e>
                <m:sup>
                  <m:r>
                    <w:rPr>
                      <w:rFonts w:ascii="Cambria Math" w:hAnsi="Cambria Math"/>
                    </w:rPr>
                    <m:t>2</m:t>
                  </m:r>
                </m:sup>
              </m:sSup>
              <m:r>
                <w:rPr>
                  <w:rFonts w:ascii="Cambria Math" w:hAnsi="Cambria Math"/>
                </w:rPr>
                <m:t>σ</m:t>
              </m:r>
            </m:sup>
          </m:sSup>
        </m:oMath>
      </m:oMathPara>
    </w:p>
    <w:p w:rsidR="007820C9" w:rsidRDefault="007820C9" w:rsidP="007820C9">
      <w:r>
        <w:t>Assim, a função Log-Normal poderia ser calculada como:</w:t>
      </w:r>
    </w:p>
    <w:p w:rsidR="007820C9" w:rsidRPr="00135B60" w:rsidRDefault="007820C9" w:rsidP="007820C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ln²σ</m:t>
                  </m:r>
                </m:e>
              </m:rad>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m:rPr>
                          <m:sty m:val="p"/>
                        </m:rPr>
                        <w:rPr>
                          <w:rFonts w:ascii="Cambria Math" w:hAnsi="Cambria Math"/>
                        </w:rPr>
                        <m:t>ln⁡</m:t>
                      </m:r>
                      <m:d>
                        <m:dPr>
                          <m:ctrlPr>
                            <w:rPr>
                              <w:rFonts w:ascii="Cambria Math" w:hAnsi="Cambria Math"/>
                              <w:i/>
                            </w:rPr>
                          </m:ctrlPr>
                        </m:dPr>
                        <m:e>
                          <m:f>
                            <m:fPr>
                              <m:type m:val="skw"/>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num>
                    <m:den>
                      <m:r>
                        <w:rPr>
                          <w:rFonts w:ascii="Cambria Math" w:hAnsi="Cambria Math"/>
                        </w:rPr>
                        <m:t>lnσ</m:t>
                      </m:r>
                    </m:den>
                  </m:f>
                </m:e>
              </m:d>
            </m:e>
          </m:d>
        </m:oMath>
      </m:oMathPara>
    </w:p>
    <w:p w:rsidR="007820C9" w:rsidRDefault="007820C9" w:rsidP="007820C9"/>
    <w:p w:rsidR="00860D3D" w:rsidRDefault="00860D3D" w:rsidP="00860D3D"/>
    <w:p w:rsidR="007820C9" w:rsidRDefault="007820C9" w:rsidP="00860D3D"/>
    <w:p w:rsidR="007820C9" w:rsidRDefault="007820C9" w:rsidP="00860D3D"/>
    <w:p w:rsidR="00860D3D" w:rsidRDefault="00860D3D" w:rsidP="00860D3D">
      <w:pPr>
        <w:pStyle w:val="Ttulo1"/>
      </w:pPr>
      <w:r>
        <w:lastRenderedPageBreak/>
        <w:t>Dados experimentais</w:t>
      </w:r>
    </w:p>
    <w:p w:rsidR="00860D3D" w:rsidRDefault="00860D3D" w:rsidP="00860D3D">
      <w:pPr>
        <w:ind w:firstLine="0"/>
      </w:pPr>
    </w:p>
    <w:p w:rsidR="007820C9" w:rsidRDefault="007820C9" w:rsidP="007820C9">
      <w:r>
        <w:t>Na própria figura é apresentada o valor do tamanho de cristalito.</w:t>
      </w:r>
    </w:p>
    <w:p w:rsidR="00860D3D" w:rsidRDefault="007820C9" w:rsidP="00860D3D">
      <w:pPr>
        <w:keepNext/>
        <w:ind w:firstLine="0"/>
      </w:pPr>
      <w:r>
        <w:rPr>
          <w:noProof/>
          <w:lang w:eastAsia="pt-BR"/>
        </w:rPr>
        <w:drawing>
          <wp:inline distT="0" distB="0" distL="0" distR="0" wp14:anchorId="05F2D51B" wp14:editId="4FE62B26">
            <wp:extent cx="5400040" cy="407479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4795"/>
                    </a:xfrm>
                    <a:prstGeom prst="rect">
                      <a:avLst/>
                    </a:prstGeom>
                  </pic:spPr>
                </pic:pic>
              </a:graphicData>
            </a:graphic>
          </wp:inline>
        </w:drawing>
      </w:r>
    </w:p>
    <w:p w:rsidR="00860D3D" w:rsidRDefault="00860D3D"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2.6</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1</w:t>
      </w:r>
      <w:r w:rsidR="00AF04B4">
        <w:rPr>
          <w:noProof/>
        </w:rPr>
        <w:fldChar w:fldCharType="end"/>
      </w:r>
      <w:r>
        <w:t xml:space="preserve"> Amostra de </w:t>
      </w:r>
      <w:proofErr w:type="spellStart"/>
      <w:r>
        <w:t>ZnO</w:t>
      </w:r>
      <w:proofErr w:type="spellEnd"/>
      <w:r>
        <w:t>, aplicando o método de W-A</w:t>
      </w:r>
    </w:p>
    <w:p w:rsidR="001D2603" w:rsidRDefault="007820C9" w:rsidP="001D2603">
      <w:pPr>
        <w:keepNext/>
      </w:pPr>
      <w:r>
        <w:rPr>
          <w:noProof/>
          <w:lang w:eastAsia="pt-BR"/>
        </w:rPr>
        <w:lastRenderedPageBreak/>
        <w:drawing>
          <wp:inline distT="0" distB="0" distL="0" distR="0" wp14:anchorId="4C122F70" wp14:editId="70B2C555">
            <wp:extent cx="5400040" cy="407479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074795"/>
                    </a:xfrm>
                    <a:prstGeom prst="rect">
                      <a:avLst/>
                    </a:prstGeom>
                  </pic:spPr>
                </pic:pic>
              </a:graphicData>
            </a:graphic>
          </wp:inline>
        </w:drawing>
      </w:r>
    </w:p>
    <w:p w:rsidR="001D2603" w:rsidRDefault="001D2603"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2.6</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2</w:t>
      </w:r>
      <w:r w:rsidR="00AF04B4">
        <w:rPr>
          <w:noProof/>
        </w:rPr>
        <w:fldChar w:fldCharType="end"/>
      </w:r>
      <w:r>
        <w:t xml:space="preserve"> tamanho de cristalito pelo método da Single-Line</w:t>
      </w:r>
    </w:p>
    <w:p w:rsidR="007820C9" w:rsidRDefault="007820C9" w:rsidP="007820C9">
      <w:pPr>
        <w:keepNext/>
        <w:ind w:firstLine="0"/>
        <w:jc w:val="center"/>
      </w:pPr>
      <w:r>
        <w:rPr>
          <w:noProof/>
          <w:lang w:eastAsia="pt-BR"/>
        </w:rPr>
        <w:drawing>
          <wp:inline distT="0" distB="0" distL="0" distR="0" wp14:anchorId="1549526E" wp14:editId="38EC05E0">
            <wp:extent cx="5400040" cy="40747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rit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74795"/>
                    </a:xfrm>
                    <a:prstGeom prst="rect">
                      <a:avLst/>
                    </a:prstGeom>
                  </pic:spPr>
                </pic:pic>
              </a:graphicData>
            </a:graphic>
          </wp:inline>
        </w:drawing>
      </w:r>
    </w:p>
    <w:p w:rsidR="00860D3D" w:rsidRDefault="007820C9" w:rsidP="007820C9">
      <w:pPr>
        <w:pStyle w:val="Legenda"/>
      </w:pPr>
      <w:r>
        <w:t xml:space="preserve">Figura </w:t>
      </w:r>
      <w:r w:rsidR="00AF04B4">
        <w:fldChar w:fldCharType="begin"/>
      </w:r>
      <w:r w:rsidR="00AF04B4">
        <w:instrText xml:space="preserve"> STYLEREF 1 \s </w:instrText>
      </w:r>
      <w:r w:rsidR="00AF04B4">
        <w:fldChar w:fldCharType="separate"/>
      </w:r>
      <w:r>
        <w:rPr>
          <w:noProof/>
        </w:rPr>
        <w:t>2.6</w:t>
      </w:r>
      <w:r w:rsidR="00AF04B4">
        <w:rPr>
          <w:noProof/>
        </w:rPr>
        <w:fldChar w:fldCharType="end"/>
      </w:r>
      <w:r>
        <w:noBreakHyphen/>
      </w:r>
      <w:r w:rsidR="00AF04B4">
        <w:fldChar w:fldCharType="begin"/>
      </w:r>
      <w:r w:rsidR="00AF04B4">
        <w:instrText xml:space="preserve"> SEQ Figura \* ARABIC \s 1 </w:instrText>
      </w:r>
      <w:r w:rsidR="00AF04B4">
        <w:fldChar w:fldCharType="separate"/>
      </w:r>
      <w:r>
        <w:rPr>
          <w:noProof/>
        </w:rPr>
        <w:t>3</w:t>
      </w:r>
      <w:r w:rsidR="00AF04B4">
        <w:rPr>
          <w:noProof/>
        </w:rPr>
        <w:fldChar w:fldCharType="end"/>
      </w:r>
      <w:r>
        <w:t xml:space="preserve"> método da SL Ferrita, usando padrão de Y2O3</w:t>
      </w:r>
    </w:p>
    <w:p w:rsidR="007820C9" w:rsidRDefault="007820C9" w:rsidP="007820C9">
      <w:pPr>
        <w:keepNext/>
        <w:jc w:val="center"/>
      </w:pPr>
      <w:r>
        <w:rPr>
          <w:noProof/>
          <w:lang w:eastAsia="pt-BR"/>
        </w:rPr>
        <w:lastRenderedPageBreak/>
        <w:drawing>
          <wp:inline distT="0" distB="0" distL="0" distR="0" wp14:anchorId="51AA39E4" wp14:editId="0A7BBFAA">
            <wp:extent cx="5400040" cy="407479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ritaff.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74795"/>
                    </a:xfrm>
                    <a:prstGeom prst="rect">
                      <a:avLst/>
                    </a:prstGeom>
                  </pic:spPr>
                </pic:pic>
              </a:graphicData>
            </a:graphic>
          </wp:inline>
        </w:drawing>
      </w:r>
    </w:p>
    <w:p w:rsidR="007820C9" w:rsidRPr="007820C9" w:rsidRDefault="007820C9" w:rsidP="007820C9">
      <w:pPr>
        <w:pStyle w:val="Legenda"/>
      </w:pPr>
      <w:r>
        <w:t xml:space="preserve">Figura </w:t>
      </w:r>
      <w:r w:rsidR="00AF04B4">
        <w:fldChar w:fldCharType="begin"/>
      </w:r>
      <w:r w:rsidR="00AF04B4">
        <w:instrText xml:space="preserve"> STYLEREF 1 \s </w:instrText>
      </w:r>
      <w:r w:rsidR="00AF04B4">
        <w:fldChar w:fldCharType="separate"/>
      </w:r>
      <w:r>
        <w:rPr>
          <w:noProof/>
        </w:rPr>
        <w:t>2.6</w:t>
      </w:r>
      <w:r w:rsidR="00AF04B4">
        <w:rPr>
          <w:noProof/>
        </w:rPr>
        <w:fldChar w:fldCharType="end"/>
      </w:r>
      <w:r>
        <w:noBreakHyphen/>
      </w:r>
      <w:r w:rsidR="00AF04B4">
        <w:fldChar w:fldCharType="begin"/>
      </w:r>
      <w:r w:rsidR="00AF04B4">
        <w:instrText xml:space="preserve"> SEQ Figura \* ARABIC \s 1 </w:instrText>
      </w:r>
      <w:r w:rsidR="00AF04B4">
        <w:fldChar w:fldCharType="separate"/>
      </w:r>
      <w:r>
        <w:rPr>
          <w:noProof/>
        </w:rPr>
        <w:t>4</w:t>
      </w:r>
      <w:r w:rsidR="00AF04B4">
        <w:rPr>
          <w:noProof/>
        </w:rPr>
        <w:fldChar w:fldCharType="end"/>
      </w:r>
      <w:r>
        <w:t xml:space="preserve"> método de WA para Ferrita com padrão de Y2O3</w:t>
      </w:r>
    </w:p>
    <w:p w:rsidR="00135B60" w:rsidRDefault="00135B60" w:rsidP="001D2603"/>
    <w:p w:rsidR="00C74C54" w:rsidRPr="00C74C54" w:rsidRDefault="00C74C54" w:rsidP="00C74C54">
      <w:pPr>
        <w:pStyle w:val="PargrafodaLista"/>
        <w:numPr>
          <w:ilvl w:val="1"/>
          <w:numId w:val="1"/>
        </w:numPr>
        <w:rPr>
          <w:b/>
        </w:rPr>
      </w:pPr>
      <w:r w:rsidRPr="00C74C54">
        <w:rPr>
          <w:b/>
        </w:rPr>
        <w:t>Interface</w:t>
      </w:r>
    </w:p>
    <w:p w:rsidR="00C74C54" w:rsidRDefault="00C74C54" w:rsidP="00C74C54">
      <w:r>
        <w:t>A ferramenta computacional está sendo construída com uma interface.</w:t>
      </w:r>
    </w:p>
    <w:p w:rsidR="00C74C54" w:rsidRDefault="00860D3D" w:rsidP="00C74C54">
      <w:pPr>
        <w:keepNext/>
        <w:jc w:val="center"/>
      </w:pPr>
      <w:r>
        <w:rPr>
          <w:noProof/>
          <w:lang w:eastAsia="pt-BR"/>
        </w:rPr>
        <w:lastRenderedPageBreak/>
        <w:drawing>
          <wp:inline distT="0" distB="0" distL="0" distR="0" wp14:anchorId="48749C72" wp14:editId="3CA2AA64">
            <wp:extent cx="5400040" cy="35782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78225"/>
                    </a:xfrm>
                    <a:prstGeom prst="rect">
                      <a:avLst/>
                    </a:prstGeom>
                  </pic:spPr>
                </pic:pic>
              </a:graphicData>
            </a:graphic>
          </wp:inline>
        </w:drawing>
      </w:r>
    </w:p>
    <w:p w:rsidR="00C74C54" w:rsidRDefault="00C74C54"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2.7</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1</w:t>
      </w:r>
      <w:r w:rsidR="00AF04B4">
        <w:rPr>
          <w:noProof/>
        </w:rPr>
        <w:fldChar w:fldCharType="end"/>
      </w:r>
      <w:r>
        <w:t xml:space="preserve"> interface da ferramenta</w:t>
      </w:r>
    </w:p>
    <w:p w:rsidR="00C74C54" w:rsidRDefault="00860D3D" w:rsidP="00C74C54">
      <w:r>
        <w:t xml:space="preserve">A interface foi modificada para estar mais próxima de ferramentas como </w:t>
      </w:r>
      <w:proofErr w:type="spellStart"/>
      <w:r>
        <w:t>GsasII</w:t>
      </w:r>
      <w:proofErr w:type="spellEnd"/>
      <w:r>
        <w:t xml:space="preserve"> e PDFGUI.</w:t>
      </w:r>
    </w:p>
    <w:p w:rsidR="0031088D" w:rsidRDefault="0031088D" w:rsidP="00C74C54"/>
    <w:p w:rsidR="00E87F82" w:rsidRDefault="00E87F82" w:rsidP="00E87F82">
      <w:pPr>
        <w:pStyle w:val="PargrafodaLista"/>
        <w:numPr>
          <w:ilvl w:val="1"/>
          <w:numId w:val="1"/>
        </w:numPr>
        <w:rPr>
          <w:b/>
        </w:rPr>
      </w:pPr>
      <w:r w:rsidRPr="00E87F82">
        <w:rPr>
          <w:b/>
        </w:rPr>
        <w:t xml:space="preserve">Estado da arte </w:t>
      </w:r>
    </w:p>
    <w:p w:rsidR="00E87F82" w:rsidRDefault="00E87F82" w:rsidP="00E87F82">
      <w:pPr>
        <w:pStyle w:val="PargrafodaLista"/>
        <w:ind w:left="792" w:firstLine="0"/>
        <w:rPr>
          <w:b/>
        </w:rPr>
      </w:pPr>
    </w:p>
    <w:p w:rsidR="00E87F82" w:rsidRPr="00E87F82" w:rsidRDefault="00E87F82" w:rsidP="00E87F82">
      <w:r w:rsidRPr="00E87F82">
        <w:t>Foi feit</w:t>
      </w:r>
      <w:r>
        <w:t>a</w:t>
      </w:r>
      <w:r w:rsidRPr="00E87F82">
        <w:t xml:space="preserve"> uma</w:t>
      </w:r>
      <w:r>
        <w:t xml:space="preserve"> pesquisa sobre a história da cristalografia, uma baseada no início nas ciências naturais e outro baseado na matemática.</w:t>
      </w:r>
    </w:p>
    <w:p w:rsidR="00AD0101" w:rsidRDefault="00B73338" w:rsidP="00E87F82">
      <w:r w:rsidRPr="00E87F82">
        <w:t xml:space="preserve">A cristalografia é uma ciência relativamente recente. Foi </w:t>
      </w:r>
      <w:r w:rsidRPr="00E87F82">
        <w:rPr>
          <w:bCs/>
        </w:rPr>
        <w:t>René Just </w:t>
      </w:r>
      <w:proofErr w:type="spellStart"/>
      <w:r w:rsidRPr="00E87F82">
        <w:rPr>
          <w:bCs/>
        </w:rPr>
        <w:t>Haüy</w:t>
      </w:r>
      <w:proofErr w:type="spellEnd"/>
      <w:r w:rsidRPr="00E87F82">
        <w:t xml:space="preserve">, que viveu nos finais do século XVIII, princípios do século XIX, quem conseguiu que a cristalografia se tornasse uma ciência matemática exata, a partir da classificação de cristais de determinadas formas. </w:t>
      </w:r>
      <w:r w:rsidRPr="00E87F82">
        <w:rPr>
          <w:bCs/>
        </w:rPr>
        <w:t>Christian </w:t>
      </w:r>
      <w:proofErr w:type="spellStart"/>
      <w:r w:rsidRPr="00E87F82">
        <w:rPr>
          <w:bCs/>
        </w:rPr>
        <w:t>Westfeld</w:t>
      </w:r>
      <w:proofErr w:type="spellEnd"/>
      <w:r w:rsidRPr="00E87F82">
        <w:t xml:space="preserve"> (1746-1823) definiu o conceito de célula unitária. </w:t>
      </w:r>
      <w:r w:rsidR="00AD0101">
        <w:fldChar w:fldCharType="begin" w:fldLock="1"/>
      </w:r>
      <w:r w:rsidR="00AF04B4">
        <w:instrText>ADDIN CSL_CITATION { "citationItems" : [ { "id" : "ITEM-1", "itemData" : { "DOI" : "10.1002/anie.201206509", "ISBN" : "1521-3773", "ISSN" : "14337851", "PMID" : "23212904", "abstract" : "A new age dawned when 22-year-old William Lawrence Bragg realized that the observations of X-ray diffraction by a crystal can be interpreted very simply as arising from the reflection of the X-rays by planes of atoms in the crystal. In the 100 years since this insight X-ray diffraction has transformed chemistry, mineralogy, metallurgy, and, most recently, biology.", "author" : [ { "dropping-particle" : "", "family" : "Thomas", "given" : "John Meurig", "non-dropping-particle" : "", "parse-names" : false, "suffix" : "" } ], "container-title" : "Angewandte Chemie - International Edition", "id" : "ITEM-1", "issue" : "52", "issued" : { "date-parts" : [ [ "2012" ] ] }, "page" : "12946-12958", "title" : "William lawrence bragg: The pioneer of X-ray crystallography and his pervasive influence", "type" : "article-journal", "volume" : "51" }, "uris" : [ "http://www.mendeley.com/documents/?uuid=c50ad18d-5be8-4089-a281-c979f3147ffc" ] } ], "mendeley" : { "formattedCitation" : "(THOMAS, 2012)", "plainTextFormattedCitation" : "(THOMAS, 2012)", "previouslyFormattedCitation" : "(THOMAS, 2012)" }, "properties" : { "noteIndex" : 0 }, "schema" : "https://github.com/citation-style-language/schema/raw/master/csl-citation.json" }</w:instrText>
      </w:r>
      <w:r w:rsidR="00AD0101">
        <w:fldChar w:fldCharType="separate"/>
      </w:r>
      <w:r w:rsidR="00AF04B4" w:rsidRPr="00AF04B4">
        <w:rPr>
          <w:noProof/>
        </w:rPr>
        <w:t>(THOMAS, 2012)</w:t>
      </w:r>
      <w:r w:rsidR="00AD0101">
        <w:fldChar w:fldCharType="end"/>
      </w:r>
    </w:p>
    <w:p w:rsidR="00E87F82" w:rsidRDefault="00E87F82" w:rsidP="00E87F82">
      <w:r w:rsidRPr="00E87F82">
        <w:t>Christian Weiss (1780-1856) classificou os cristais nos diferentes sistemas cristalográficos que são atualmente utilizados e em 1848, Auguste </w:t>
      </w:r>
      <w:proofErr w:type="spellStart"/>
      <w:r w:rsidRPr="00E87F82">
        <w:t>Bravais</w:t>
      </w:r>
      <w:proofErr w:type="spellEnd"/>
      <w:r w:rsidRPr="00E87F82">
        <w:t> (1811-1863) demonstrou que existem apenas 14 maneiras diferentes de preencher todo o espaço com unidades que se repetem e que não deixem vazios ou sobreposições, essas unidades são conhecidas como redes de </w:t>
      </w:r>
      <w:proofErr w:type="spellStart"/>
      <w:r w:rsidRPr="00E87F82">
        <w:t>Bravais</w:t>
      </w:r>
      <w:proofErr w:type="spellEnd"/>
      <w:r w:rsidRPr="00E87F82">
        <w:t>.</w:t>
      </w:r>
    </w:p>
    <w:p w:rsidR="00E87F82" w:rsidRPr="00E87F82" w:rsidRDefault="00E87F82" w:rsidP="00E87F82">
      <w:r w:rsidRPr="00E87F82">
        <w:t xml:space="preserve">Podemos dizer que a cristalografia </w:t>
      </w:r>
      <w:r>
        <w:t xml:space="preserve">como ciência natural </w:t>
      </w:r>
      <w:r w:rsidRPr="00E87F82">
        <w:t xml:space="preserve">surgiu por volta de 5 </w:t>
      </w:r>
      <w:proofErr w:type="spellStart"/>
      <w:r w:rsidRPr="00E87F82">
        <w:t>a.c</w:t>
      </w:r>
      <w:proofErr w:type="spellEnd"/>
    </w:p>
    <w:p w:rsidR="00E87F82" w:rsidRDefault="00E87F82" w:rsidP="00E87F82">
      <w:r w:rsidRPr="00E87F82">
        <w:t>Leucipo, o mentor de Demócrito, o qual, quase cinco séculos antes de cristo, considerava todas as coisas formadas por partículas infinitesimais (átomos), em constante movimento. </w:t>
      </w:r>
    </w:p>
    <w:p w:rsidR="00E87F82" w:rsidRDefault="00E87F82" w:rsidP="00E87F82">
      <w:r w:rsidRPr="00E87F82">
        <w:lastRenderedPageBreak/>
        <w:t>No século XIX, Dalton concebe cientificamente a teoria corpuscular. </w:t>
      </w:r>
      <w:proofErr w:type="spellStart"/>
      <w:r w:rsidRPr="00E87F82">
        <w:t>Crookes</w:t>
      </w:r>
      <w:proofErr w:type="spellEnd"/>
      <w:r w:rsidRPr="00E87F82">
        <w:t xml:space="preserve"> (1870) estudo o estado radiante da matéria e os tubos de raios catódicos. </w:t>
      </w:r>
      <w:proofErr w:type="spellStart"/>
      <w:r w:rsidRPr="00E87F82">
        <w:t>Rontegen</w:t>
      </w:r>
      <w:proofErr w:type="spellEnd"/>
      <w:r w:rsidRPr="00E87F82">
        <w:t>(1895) observa que tais radiações invisíveis atravessam o tubo e certos materiais, dá o nome de Raios X</w:t>
      </w:r>
    </w:p>
    <w:p w:rsidR="00E87F82" w:rsidRDefault="00E87F82" w:rsidP="00E87F82">
      <w:r>
        <w:t xml:space="preserve">Em </w:t>
      </w:r>
      <w:r w:rsidRPr="00E87F82">
        <w:t xml:space="preserve">1912 </w:t>
      </w:r>
      <w:proofErr w:type="spellStart"/>
      <w:r w:rsidRPr="00E87F82">
        <w:t>Laue</w:t>
      </w:r>
      <w:proofErr w:type="spellEnd"/>
      <w:r w:rsidRPr="00E87F82">
        <w:t xml:space="preserve"> concebeu a possibilidade de realizar difração de raios X, utilizando uma estrutura cristalina como rede de difração tridimensional. As primeiras experiências foram realizadas por dois alunos de </w:t>
      </w:r>
      <w:proofErr w:type="spellStart"/>
      <w:r w:rsidRPr="00E87F82">
        <w:t>Laue</w:t>
      </w:r>
      <w:proofErr w:type="spellEnd"/>
      <w:r w:rsidRPr="00E87F82">
        <w:t xml:space="preserve">, Walter Friedrich e Paul </w:t>
      </w:r>
      <w:proofErr w:type="spellStart"/>
      <w:r w:rsidRPr="00E87F82">
        <w:t>Knipping</w:t>
      </w:r>
      <w:proofErr w:type="spellEnd"/>
      <w:r w:rsidRPr="00E87F82">
        <w:t>.</w:t>
      </w:r>
      <w:r>
        <w:t xml:space="preserve"> </w:t>
      </w:r>
      <w:r w:rsidRPr="00E87F82">
        <w:t>Logo depois </w:t>
      </w:r>
      <w:r w:rsidRPr="00E87F82">
        <w:rPr>
          <w:bCs/>
        </w:rPr>
        <w:t>William Henry Bragg e seu filho William Lawrence Bragg</w:t>
      </w:r>
      <w:r w:rsidRPr="00E87F82">
        <w:rPr>
          <w:b/>
          <w:bCs/>
        </w:rPr>
        <w:t xml:space="preserve"> </w:t>
      </w:r>
      <w:r w:rsidRPr="00E87F82">
        <w:t>demonstraram a relação que passou a ser conhecida como lei de Bragg, fundamental para o estudo de estruturas cristalinas com o uso da difração de raios X.</w:t>
      </w:r>
      <w:r w:rsidR="00AD0101">
        <w:fldChar w:fldCharType="begin" w:fldLock="1"/>
      </w:r>
      <w:r w:rsidR="00AF04B4">
        <w:instrText>ADDIN CSL_CITATION { "citationItems" : [ { "id" : "ITEM-1", "itemData" : { "author" : [ { "dropping-particle" : "", "family" : "Gallego", "given" : "Martinez Luis", "non-dropping-particle" : "", "parse-names" : false, "suffix" : "" } ], "container-title" : "Thesis Ph.D, Universidade de Sao Paulo, Brazil", "id" : "ITEM-1", "issued" : { "date-parts" : [ [ "1989" ] ] }, "title" : "Desenvolvimento e Implanta\u00e7\u00e3o de Uma T\u00e9cnica de An\u00e1lise de Perfis de Difra\u00e7\u00e2o de Raios X, Para a Determina\u00e7\u00e3o da Energia de Falha de Empilhamento de Metais E Ligas de Estrutura CfC", "type" : "article-journal" }, "uris" : [ "http://www.mendeley.com/documents/?uuid=6a9a1c5b-3a64-462c-b0ea-b295cbe92af1" ] } ], "mendeley" : { "formattedCitation" : "(GALLEGO, 1989)", "plainTextFormattedCitation" : "(GALLEGO, 1989)", "previouslyFormattedCitation" : "(GALLEGO, 1989)" }, "properties" : { "noteIndex" : 0 }, "schema" : "https://github.com/citation-style-language/schema/raw/master/csl-citation.json" }</w:instrText>
      </w:r>
      <w:r w:rsidR="00AD0101">
        <w:fldChar w:fldCharType="separate"/>
      </w:r>
      <w:r w:rsidR="00AF04B4" w:rsidRPr="00AF04B4">
        <w:rPr>
          <w:noProof/>
        </w:rPr>
        <w:t>(GALLEGO, 1989)</w:t>
      </w:r>
      <w:r w:rsidR="00AD0101">
        <w:fldChar w:fldCharType="end"/>
      </w:r>
    </w:p>
    <w:p w:rsidR="00E87F82" w:rsidRPr="00E87F82" w:rsidRDefault="00E87F82" w:rsidP="00E87F82">
      <w:r>
        <w:t xml:space="preserve">O alargamento do pico de difração não era previsto pela teoria, assim em 1918 </w:t>
      </w:r>
      <w:proofErr w:type="spellStart"/>
      <w:r w:rsidRPr="00E87F82">
        <w:rPr>
          <w:bCs/>
        </w:rPr>
        <w:t>Scherrer</w:t>
      </w:r>
      <w:proofErr w:type="spellEnd"/>
      <w:r w:rsidRPr="00E87F82">
        <w:rPr>
          <w:bCs/>
        </w:rPr>
        <w:t xml:space="preserve"> </w:t>
      </w:r>
      <w:r>
        <w:t>apresenta sua teoria,</w:t>
      </w:r>
      <w:r w:rsidRPr="00E87F82">
        <w:t xml:space="preserve"> que o tamanho de cristalito é o responsável pelo alargamento do pico.</w:t>
      </w:r>
      <w:r>
        <w:t xml:space="preserve"> </w:t>
      </w:r>
      <w:r w:rsidRPr="00E87F82">
        <w:t>Hoje sabemos que não é somente a isso.</w:t>
      </w:r>
      <w:r>
        <w:t xml:space="preserve"> </w:t>
      </w:r>
      <w:proofErr w:type="spellStart"/>
      <w:r>
        <w:t>Scherrer</w:t>
      </w:r>
      <w:proofErr w:type="spellEnd"/>
      <w:r>
        <w:t xml:space="preserve"> propôs que</w:t>
      </w:r>
      <w:r w:rsidRPr="00E87F82">
        <w:t xml:space="preserve"> o tamanho de cristalito está relacionado com a largura a meia altura do pico</w:t>
      </w:r>
    </w:p>
    <w:p w:rsidR="00E87F82" w:rsidRDefault="00E87F82" w:rsidP="00E87F82">
      <w:pPr>
        <w:rPr>
          <w:rFonts w:eastAsiaTheme="minorEastAsia"/>
          <w:sz w:val="28"/>
        </w:rPr>
      </w:pPr>
      <m:oMathPara>
        <m:oMath>
          <m:r>
            <w:rPr>
              <w:rFonts w:ascii="Cambria Math" w:hAnsi="Cambria Math"/>
              <w:sz w:val="28"/>
            </w:rPr>
            <m:t>L=</m:t>
          </m:r>
          <m:f>
            <m:fPr>
              <m:ctrlPr>
                <w:rPr>
                  <w:rFonts w:ascii="Cambria Math" w:hAnsi="Cambria Math"/>
                  <w:i/>
                  <w:sz w:val="28"/>
                </w:rPr>
              </m:ctrlPr>
            </m:fPr>
            <m:num>
              <m:r>
                <w:rPr>
                  <w:rFonts w:ascii="Cambria Math" w:hAnsi="Cambria Math"/>
                  <w:sz w:val="28"/>
                </w:rPr>
                <m:t>Kλ</m:t>
              </m:r>
            </m:num>
            <m:den>
              <m:r>
                <w:rPr>
                  <w:rFonts w:ascii="Cambria Math" w:hAnsi="Cambria Math"/>
                  <w:sz w:val="28"/>
                </w:rPr>
                <m:t>ϖ</m:t>
              </m:r>
              <m:func>
                <m:funcPr>
                  <m:ctrlPr>
                    <w:rPr>
                      <w:rFonts w:ascii="Cambria Math" w:hAnsi="Cambria Math"/>
                      <w:i/>
                      <w:sz w:val="28"/>
                    </w:rPr>
                  </m:ctrlPr>
                </m:funcPr>
                <m:fName>
                  <m:r>
                    <m:rPr>
                      <m:sty m:val="p"/>
                    </m:rPr>
                    <w:rPr>
                      <w:rFonts w:ascii="Cambria Math" w:hAnsi="Cambria Math"/>
                      <w:sz w:val="28"/>
                    </w:rPr>
                    <m:t>cos</m:t>
                  </m:r>
                </m:fName>
                <m:e>
                  <m:r>
                    <w:rPr>
                      <w:rFonts w:ascii="Cambria Math" w:hAnsi="Cambria Math"/>
                      <w:sz w:val="28"/>
                    </w:rPr>
                    <m:t>θ</m:t>
                  </m:r>
                </m:e>
              </m:func>
            </m:den>
          </m:f>
        </m:oMath>
      </m:oMathPara>
    </w:p>
    <w:p w:rsidR="00E87F82" w:rsidRPr="00482D69" w:rsidRDefault="007D4DA7" w:rsidP="00E87F82">
      <w:pPr>
        <w:rPr>
          <w:rFonts w:eastAsiaTheme="minorEastAsia"/>
        </w:rPr>
      </w:pPr>
      <m:oMathPara>
        <m:oMath>
          <m:r>
            <w:rPr>
              <w:rFonts w:ascii="Cambria Math" w:hAnsi="Cambria Math"/>
            </w:rPr>
            <m:t>ϖ=largura a meia algura</m:t>
          </m:r>
        </m:oMath>
      </m:oMathPara>
    </w:p>
    <w:p w:rsidR="007D4DA7" w:rsidRDefault="007D4DA7" w:rsidP="007D4DA7">
      <w:pPr>
        <w:jc w:val="center"/>
        <w:rPr>
          <w:rFonts w:eastAsiaTheme="minorEastAsia"/>
        </w:rPr>
      </w:pPr>
      <m:oMath>
        <m:r>
          <w:rPr>
            <w:rFonts w:ascii="Cambria Math" w:hAnsi="Cambria Math"/>
          </w:rPr>
          <m:t xml:space="preserve">θ= </m:t>
        </m:r>
      </m:oMath>
      <w:r w:rsidRPr="00482D69">
        <w:rPr>
          <w:rFonts w:eastAsiaTheme="minorEastAsia"/>
        </w:rPr>
        <w:t>posição central</w:t>
      </w:r>
    </w:p>
    <w:p w:rsidR="004B3A89" w:rsidRPr="004B3A89" w:rsidRDefault="004B3A89" w:rsidP="007D4DA7">
      <w:pPr>
        <w:jc w:val="center"/>
        <w:rPr>
          <w:rFonts w:eastAsiaTheme="minorEastAsia"/>
        </w:rPr>
      </w:pPr>
      <m:oMathPara>
        <m:oMath>
          <m:r>
            <w:rPr>
              <w:rFonts w:ascii="Cambria Math" w:hAnsi="Cambria Math"/>
            </w:rPr>
            <m:t>K=constante=0.9</m:t>
          </m:r>
        </m:oMath>
      </m:oMathPara>
    </w:p>
    <w:p w:rsidR="004B3A89" w:rsidRPr="004B3A89" w:rsidRDefault="004B3A89" w:rsidP="007D4DA7">
      <w:pPr>
        <w:jc w:val="center"/>
        <w:rPr>
          <w:rFonts w:eastAsiaTheme="minorEastAsia"/>
          <w:sz w:val="22"/>
        </w:rPr>
      </w:pPr>
      <m:oMathPara>
        <m:oMath>
          <m:r>
            <w:rPr>
              <w:rFonts w:ascii="Cambria Math" w:hAnsi="Cambria Math"/>
            </w:rPr>
            <m:t>λ=comprimento de onda</m:t>
          </m:r>
        </m:oMath>
      </m:oMathPara>
    </w:p>
    <w:p w:rsidR="007D4DA7" w:rsidRDefault="007D4DA7" w:rsidP="007D4DA7">
      <w:pPr>
        <w:keepNext/>
        <w:jc w:val="center"/>
      </w:pPr>
      <w:r w:rsidRPr="007D4DA7">
        <w:rPr>
          <w:noProof/>
          <w:lang w:eastAsia="pt-BR"/>
        </w:rPr>
        <w:drawing>
          <wp:inline distT="0" distB="0" distL="0" distR="0" wp14:anchorId="476F8429" wp14:editId="1C2DFDD3">
            <wp:extent cx="3863488" cy="2422597"/>
            <wp:effectExtent l="19050" t="0" r="3662" b="0"/>
            <wp:docPr id="15" name="Imagem 5" descr="http://www.hlabsoft.com/web/hl2005/referenceguide/20052b-html/pictures/10000201000001E8000001329919A766.png"/>
            <wp:cNvGraphicFramePr/>
            <a:graphic xmlns:a="http://schemas.openxmlformats.org/drawingml/2006/main">
              <a:graphicData uri="http://schemas.openxmlformats.org/drawingml/2006/picture">
                <pic:pic xmlns:pic="http://schemas.openxmlformats.org/drawingml/2006/picture">
                  <pic:nvPicPr>
                    <pic:cNvPr id="10242" name="Picture 2" descr="http://www.hlabsoft.com/web/hl2005/referenceguide/20052b-html/pictures/10000201000001E8000001329919A76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3488" cy="24225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D4DA7" w:rsidRDefault="007D4DA7" w:rsidP="00F056D8">
      <w:pPr>
        <w:pStyle w:val="Legenda"/>
      </w:pPr>
      <w:r>
        <w:t xml:space="preserve">Figura </w:t>
      </w:r>
      <w:r w:rsidR="00AF04B4">
        <w:fldChar w:fldCharType="begin"/>
      </w:r>
      <w:r w:rsidR="00AF04B4">
        <w:instrText xml:space="preserve"> STYLEREF 1 \s </w:instrText>
      </w:r>
      <w:r w:rsidR="00AF04B4">
        <w:fldChar w:fldCharType="separate"/>
      </w:r>
      <w:r w:rsidR="007820C9">
        <w:rPr>
          <w:noProof/>
        </w:rPr>
        <w:t>2.7</w:t>
      </w:r>
      <w:r w:rsidR="00AF04B4">
        <w:rPr>
          <w:noProof/>
        </w:rPr>
        <w:fldChar w:fldCharType="end"/>
      </w:r>
      <w:r w:rsidR="007820C9">
        <w:noBreakHyphen/>
      </w:r>
      <w:r w:rsidR="00AF04B4">
        <w:fldChar w:fldCharType="begin"/>
      </w:r>
      <w:r w:rsidR="00AF04B4">
        <w:instrText xml:space="preserve"> SEQ Figura \* ARABIC \s 1 </w:instrText>
      </w:r>
      <w:r w:rsidR="00AF04B4">
        <w:fldChar w:fldCharType="separate"/>
      </w:r>
      <w:r w:rsidR="007820C9">
        <w:rPr>
          <w:noProof/>
        </w:rPr>
        <w:t>2</w:t>
      </w:r>
      <w:r w:rsidR="00AF04B4">
        <w:rPr>
          <w:noProof/>
        </w:rPr>
        <w:fldChar w:fldCharType="end"/>
      </w:r>
      <w:r>
        <w:t xml:space="preserve"> curva com representação da largura a meia altura (FWHM)</w:t>
      </w:r>
    </w:p>
    <w:p w:rsidR="00482D69" w:rsidRPr="00482D69" w:rsidRDefault="00482D69" w:rsidP="00482D69">
      <w:r>
        <w:t xml:space="preserve">Resumidamente, a cristalografia surgiu com os gregos, juntou-se com uma visão matemática dos cristais, e foi consolidada com a difração de raios x. O estudo da microestrutura se iniciou com </w:t>
      </w:r>
      <w:proofErr w:type="spellStart"/>
      <w:r>
        <w:t>Scherrer</w:t>
      </w:r>
      <w:proofErr w:type="spellEnd"/>
      <w:r>
        <w:t>, e atualmente está  evoluindo, pois tem-se considerado inúmeros fatores para o alargamento do pico de difração e não somente o tamanho de cristalito.</w:t>
      </w:r>
    </w:p>
    <w:p w:rsidR="004B3A89" w:rsidRDefault="004B3A89">
      <w:pPr>
        <w:spacing w:after="200" w:line="276" w:lineRule="auto"/>
        <w:ind w:firstLine="0"/>
        <w:jc w:val="left"/>
      </w:pPr>
      <w:r>
        <w:br w:type="page"/>
      </w:r>
    </w:p>
    <w:p w:rsidR="00ED43DD" w:rsidRPr="00ED43DD" w:rsidRDefault="002151AB" w:rsidP="00ED43DD">
      <w:pPr>
        <w:pStyle w:val="PargrafodaLista"/>
        <w:numPr>
          <w:ilvl w:val="0"/>
          <w:numId w:val="1"/>
        </w:numPr>
      </w:pPr>
      <w:r w:rsidRPr="002151AB">
        <w:rPr>
          <w:b/>
        </w:rPr>
        <w:lastRenderedPageBreak/>
        <w:t>Referencias</w:t>
      </w:r>
    </w:p>
    <w:p w:rsidR="00AF04B4" w:rsidRPr="00AF04B4" w:rsidRDefault="007820C9" w:rsidP="00AF04B4">
      <w:pPr>
        <w:widowControl w:val="0"/>
        <w:autoSpaceDE w:val="0"/>
        <w:autoSpaceDN w:val="0"/>
        <w:adjustRightInd w:val="0"/>
        <w:spacing w:line="240" w:lineRule="auto"/>
        <w:rPr>
          <w:rFonts w:cs="Times New Roman"/>
          <w:noProof/>
          <w:szCs w:val="24"/>
        </w:rPr>
      </w:pPr>
      <w:r>
        <w:fldChar w:fldCharType="begin" w:fldLock="1"/>
      </w:r>
      <w:r>
        <w:instrText xml:space="preserve">ADDIN Mendeley Bibliography CSL_BIBLIOGRAPHY </w:instrText>
      </w:r>
      <w:r>
        <w:fldChar w:fldCharType="separate"/>
      </w:r>
      <w:r w:rsidR="00AF04B4" w:rsidRPr="00AF04B4">
        <w:rPr>
          <w:rFonts w:cs="Times New Roman"/>
          <w:noProof/>
          <w:szCs w:val="24"/>
        </w:rPr>
        <w:t xml:space="preserve">BALZAR, D. X-Ray Diffraction Line Broadening. Modeling and Applications to High-Tc Superconductor. </w:t>
      </w:r>
      <w:r w:rsidR="00AF04B4" w:rsidRPr="00AF04B4">
        <w:rPr>
          <w:rFonts w:cs="Times New Roman"/>
          <w:b/>
          <w:bCs/>
          <w:noProof/>
          <w:szCs w:val="24"/>
        </w:rPr>
        <w:t>Journal of Research of the National Institute of Standards and Technology</w:t>
      </w:r>
      <w:r w:rsidR="00AF04B4" w:rsidRPr="00AF04B4">
        <w:rPr>
          <w:rFonts w:cs="Times New Roman"/>
          <w:noProof/>
          <w:szCs w:val="24"/>
        </w:rPr>
        <w:t xml:space="preserve">, v. 98, n. 3, p. 321–353, 1998.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BORGES, L. E. </w:t>
      </w:r>
      <w:r w:rsidRPr="00AF04B4">
        <w:rPr>
          <w:rFonts w:cs="Times New Roman"/>
          <w:b/>
          <w:bCs/>
          <w:noProof/>
          <w:szCs w:val="24"/>
        </w:rPr>
        <w:t>Python para desenvolvedores</w:t>
      </w:r>
      <w:r w:rsidRPr="00AF04B4">
        <w:rPr>
          <w:rFonts w:cs="Times New Roman"/>
          <w:noProof/>
          <w:szCs w:val="24"/>
        </w:rPr>
        <w:t>. [s.l: s.n.]</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CHEN, D.; CHEN, Y.; XUE, D. Digital fractional order Savitzky-Golay differentiator. </w:t>
      </w:r>
      <w:r w:rsidRPr="00AF04B4">
        <w:rPr>
          <w:rFonts w:cs="Times New Roman"/>
          <w:b/>
          <w:bCs/>
          <w:noProof/>
          <w:szCs w:val="24"/>
        </w:rPr>
        <w:t>IEEE Transactions on Circuits and Systems II: Express Briefs</w:t>
      </w:r>
      <w:r w:rsidRPr="00AF04B4">
        <w:rPr>
          <w:rFonts w:cs="Times New Roman"/>
          <w:noProof/>
          <w:szCs w:val="24"/>
        </w:rPr>
        <w:t xml:space="preserve">, v. 58, n. 11, p. 758–762, 2011.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CLEGG, W. X-ray Diffraction. </w:t>
      </w:r>
      <w:r w:rsidRPr="00AF04B4">
        <w:rPr>
          <w:rFonts w:cs="Times New Roman"/>
          <w:b/>
          <w:bCs/>
          <w:noProof/>
          <w:szCs w:val="24"/>
        </w:rPr>
        <w:t>Comprehensive Coordination Chemistry II</w:t>
      </w:r>
      <w:r w:rsidRPr="00AF04B4">
        <w:rPr>
          <w:rFonts w:cs="Times New Roman"/>
          <w:noProof/>
          <w:szCs w:val="24"/>
        </w:rPr>
        <w:t xml:space="preserve">, p. 57–64, 2005.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D., L. J. I. and L. Powder diffraction. </w:t>
      </w:r>
      <w:r w:rsidRPr="00AF04B4">
        <w:rPr>
          <w:rFonts w:cs="Times New Roman"/>
          <w:b/>
          <w:bCs/>
          <w:noProof/>
          <w:szCs w:val="24"/>
        </w:rPr>
        <w:t>Rep. Prog. Phys.</w:t>
      </w:r>
      <w:r w:rsidRPr="00AF04B4">
        <w:rPr>
          <w:rFonts w:cs="Times New Roman"/>
          <w:noProof/>
          <w:szCs w:val="24"/>
        </w:rPr>
        <w:t xml:space="preserve">, v. 59, p. 131–234, 1996.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DE KEIJSER, T. H.; LANGFORD, J. I.; MITTEMEIJER, E. J.; VOGELS, A. B. P. Use of the Voigt function in a single-line method for the analysis of X-ray diffraction line broadening. </w:t>
      </w:r>
      <w:r w:rsidRPr="00AF04B4">
        <w:rPr>
          <w:rFonts w:cs="Times New Roman"/>
          <w:b/>
          <w:bCs/>
          <w:noProof/>
          <w:szCs w:val="24"/>
        </w:rPr>
        <w:t>Journal of Applied Crystallography</w:t>
      </w:r>
      <w:r w:rsidRPr="00AF04B4">
        <w:rPr>
          <w:rFonts w:cs="Times New Roman"/>
          <w:noProof/>
          <w:szCs w:val="24"/>
        </w:rPr>
        <w:t>, v. 15, n. Copyright 1982, IEE, p. 308–314, 1982. Disponível em: &lt;http://dx.doi.org/10.1107/S0021889882012035&gt;.</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GALLEGO, M. L. Desenvolvimento e Implantação de Uma Técnica de Análise de Perfis de Difraçâo de Raios X, Para a Determinação da Energia de Falha de Empilhamento de Metais E Ligas de Estrutura CfC. </w:t>
      </w:r>
      <w:r w:rsidRPr="00AF04B4">
        <w:rPr>
          <w:rFonts w:cs="Times New Roman"/>
          <w:b/>
          <w:bCs/>
          <w:noProof/>
          <w:szCs w:val="24"/>
        </w:rPr>
        <w:t>Thesis Ph.D, Universidade de Sao Paulo, Brazil</w:t>
      </w:r>
      <w:r w:rsidRPr="00AF04B4">
        <w:rPr>
          <w:rFonts w:cs="Times New Roman"/>
          <w:noProof/>
          <w:szCs w:val="24"/>
        </w:rPr>
        <w:t xml:space="preserve">, 1989.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GHOSH, J.; CHATTOPADHAYAY, S. K.; MEIKAP, A. K.; CHATTERJEE, S. K. Microstructure characterization of titanium-base aluminium alloys by X-ray diffraction using Warren-Averbach and Rietveld method. </w:t>
      </w:r>
      <w:r w:rsidRPr="00AF04B4">
        <w:rPr>
          <w:rFonts w:cs="Times New Roman"/>
          <w:b/>
          <w:bCs/>
          <w:noProof/>
          <w:szCs w:val="24"/>
        </w:rPr>
        <w:t>Journal of Alloys and Compounds</w:t>
      </w:r>
      <w:r w:rsidRPr="00AF04B4">
        <w:rPr>
          <w:rFonts w:cs="Times New Roman"/>
          <w:noProof/>
          <w:szCs w:val="24"/>
        </w:rPr>
        <w:t xml:space="preserve">, v. 453, n. 1–2, p. 131–137, 2008.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ICHIKAWA, R. U.; MARTINEZ, L. G.; IMAKUMA, K.; TURRILLAS, X. Development of a methodology for the application of the Warren-Averbach method. </w:t>
      </w:r>
      <w:r w:rsidRPr="00AF04B4">
        <w:rPr>
          <w:rFonts w:cs="Times New Roman"/>
          <w:b/>
          <w:bCs/>
          <w:noProof/>
          <w:szCs w:val="24"/>
        </w:rPr>
        <w:t>Blucher Proceedings</w:t>
      </w:r>
      <w:r w:rsidRPr="00AF04B4">
        <w:rPr>
          <w:rFonts w:cs="Times New Roman"/>
          <w:noProof/>
          <w:szCs w:val="24"/>
        </w:rPr>
        <w:t>, [s.d.]</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KRIL, C. E.; BIRRINGER, R. Estimating grain-size distributions in nanocrystalline materials from X-ray diffraction profile analysis. </w:t>
      </w:r>
      <w:r w:rsidRPr="00AF04B4">
        <w:rPr>
          <w:rFonts w:cs="Times New Roman"/>
          <w:b/>
          <w:bCs/>
          <w:noProof/>
          <w:szCs w:val="24"/>
        </w:rPr>
        <w:t>Philosophical Magazine A</w:t>
      </w:r>
      <w:r w:rsidRPr="00AF04B4">
        <w:rPr>
          <w:rFonts w:cs="Times New Roman"/>
          <w:noProof/>
          <w:szCs w:val="24"/>
        </w:rPr>
        <w:t>, v. 77, n. 3, p. 621–640, 1998. Disponível em: &lt;http://www.tandfonline.com/doi/abs/10.1080/01418619808224072%5Cnhttp://www.tandfonline.com/doi/abs/10.1080/01418619808224072#.VVcSrEaWneM&gt;.</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LADELL, J.; ZAGOFSKY, A.; PEARLMAN, S. Cu K α 2 elimination algorithm. </w:t>
      </w:r>
      <w:r w:rsidRPr="00AF04B4">
        <w:rPr>
          <w:rFonts w:cs="Times New Roman"/>
          <w:b/>
          <w:bCs/>
          <w:noProof/>
          <w:szCs w:val="24"/>
        </w:rPr>
        <w:t>Journal of Applied Crystallography</w:t>
      </w:r>
      <w:r w:rsidRPr="00AF04B4">
        <w:rPr>
          <w:rFonts w:cs="Times New Roman"/>
          <w:noProof/>
          <w:szCs w:val="24"/>
        </w:rPr>
        <w:t>, v. 8, n. 5, p. 499–506, 1975. Disponível em: &lt;http://scripts.iucr.org/cgi-bin/paper?S0021889875011132&gt;.</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LUO, J.; YING, K.; BAI, J. Savitzky-Golay smoothing and differentiation filter for even number data. </w:t>
      </w:r>
      <w:r w:rsidRPr="00AF04B4">
        <w:rPr>
          <w:rFonts w:cs="Times New Roman"/>
          <w:b/>
          <w:bCs/>
          <w:noProof/>
          <w:szCs w:val="24"/>
        </w:rPr>
        <w:t>Signal Processing</w:t>
      </w:r>
      <w:r w:rsidRPr="00AF04B4">
        <w:rPr>
          <w:rFonts w:cs="Times New Roman"/>
          <w:noProof/>
          <w:szCs w:val="24"/>
        </w:rPr>
        <w:t xml:space="preserve">, v. 85, n. 7, p. 1429–1434, 2005.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MITTEMEIJER, E. J.; WELZEL, U. The “state of the art” of the diffraction analysis of crystallite size and lattice strain. </w:t>
      </w:r>
      <w:r w:rsidRPr="00AF04B4">
        <w:rPr>
          <w:rFonts w:cs="Times New Roman"/>
          <w:b/>
          <w:bCs/>
          <w:noProof/>
          <w:szCs w:val="24"/>
        </w:rPr>
        <w:t>Zeitschrift für Kristallographie</w:t>
      </w:r>
      <w:r w:rsidRPr="00AF04B4">
        <w:rPr>
          <w:rFonts w:cs="Times New Roman"/>
          <w:noProof/>
          <w:szCs w:val="24"/>
        </w:rPr>
        <w:t xml:space="preserve">, v. 223, n. 9, p. 552–560, 2008.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t xml:space="preserve">RIVNAY, J.; SALLEO, A.; TONEY, M. Warren Averbach analysis of XRD peak shapes : Measuring disorder in soft organic materials How will organic semiconductors continue improving ? Mobility ( cm / Vs ). 2012. </w:t>
      </w:r>
    </w:p>
    <w:p w:rsidR="00AF04B4" w:rsidRPr="00AF04B4" w:rsidRDefault="00AF04B4" w:rsidP="00AF04B4">
      <w:pPr>
        <w:widowControl w:val="0"/>
        <w:autoSpaceDE w:val="0"/>
        <w:autoSpaceDN w:val="0"/>
        <w:adjustRightInd w:val="0"/>
        <w:spacing w:line="240" w:lineRule="auto"/>
        <w:rPr>
          <w:rFonts w:cs="Times New Roman"/>
          <w:noProof/>
          <w:szCs w:val="24"/>
        </w:rPr>
      </w:pPr>
      <w:r w:rsidRPr="00AF04B4">
        <w:rPr>
          <w:rFonts w:cs="Times New Roman"/>
          <w:noProof/>
          <w:szCs w:val="24"/>
        </w:rPr>
        <w:lastRenderedPageBreak/>
        <w:t xml:space="preserve">SAVITZKY, A.; GOLAY, M. J. E. Smoothing and Differentiation of Data by Simplified Least Squares Procedures. </w:t>
      </w:r>
      <w:r w:rsidRPr="00AF04B4">
        <w:rPr>
          <w:rFonts w:cs="Times New Roman"/>
          <w:b/>
          <w:bCs/>
          <w:noProof/>
          <w:szCs w:val="24"/>
        </w:rPr>
        <w:t>Analytical Chemistry</w:t>
      </w:r>
      <w:r w:rsidRPr="00AF04B4">
        <w:rPr>
          <w:rFonts w:cs="Times New Roman"/>
          <w:noProof/>
          <w:szCs w:val="24"/>
        </w:rPr>
        <w:t xml:space="preserve">, v. 36, n. 8, p. 1627–1639, 1964. </w:t>
      </w:r>
    </w:p>
    <w:p w:rsidR="00AF04B4" w:rsidRPr="00AF04B4" w:rsidRDefault="00AF04B4" w:rsidP="00AF04B4">
      <w:pPr>
        <w:widowControl w:val="0"/>
        <w:autoSpaceDE w:val="0"/>
        <w:autoSpaceDN w:val="0"/>
        <w:adjustRightInd w:val="0"/>
        <w:spacing w:line="240" w:lineRule="auto"/>
        <w:rPr>
          <w:rFonts w:cs="Times New Roman"/>
          <w:noProof/>
        </w:rPr>
      </w:pPr>
      <w:r w:rsidRPr="00AF04B4">
        <w:rPr>
          <w:rFonts w:cs="Times New Roman"/>
          <w:noProof/>
          <w:szCs w:val="24"/>
        </w:rPr>
        <w:t xml:space="preserve">THOMAS, J. M. William lawrence bragg: The pioneer of X-ray crystallography and his pervasive influence. </w:t>
      </w:r>
      <w:r w:rsidRPr="00AF04B4">
        <w:rPr>
          <w:rFonts w:cs="Times New Roman"/>
          <w:b/>
          <w:bCs/>
          <w:noProof/>
          <w:szCs w:val="24"/>
        </w:rPr>
        <w:t>Angewandte Chemie - International Edition</w:t>
      </w:r>
      <w:r w:rsidRPr="00AF04B4">
        <w:rPr>
          <w:rFonts w:cs="Times New Roman"/>
          <w:noProof/>
          <w:szCs w:val="24"/>
        </w:rPr>
        <w:t xml:space="preserve">, v. 51, n. 52, p. 12946–12958, 2012. </w:t>
      </w:r>
    </w:p>
    <w:p w:rsidR="00ED43DD" w:rsidRDefault="007820C9" w:rsidP="00135B60">
      <w:pPr>
        <w:widowControl w:val="0"/>
        <w:autoSpaceDE w:val="0"/>
        <w:autoSpaceDN w:val="0"/>
        <w:adjustRightInd w:val="0"/>
        <w:spacing w:line="240" w:lineRule="auto"/>
      </w:pPr>
      <w:r>
        <w:fldChar w:fldCharType="end"/>
      </w:r>
    </w:p>
    <w:p w:rsidR="007820C9" w:rsidRDefault="007820C9" w:rsidP="00B73338">
      <w:pPr>
        <w:widowControl w:val="0"/>
        <w:autoSpaceDE w:val="0"/>
        <w:autoSpaceDN w:val="0"/>
        <w:adjustRightInd w:val="0"/>
        <w:spacing w:line="240" w:lineRule="auto"/>
        <w:rPr>
          <w:b/>
        </w:rPr>
      </w:pPr>
    </w:p>
    <w:p w:rsidR="00AF04B4" w:rsidRDefault="00AF04B4">
      <w:pPr>
        <w:spacing w:after="200" w:line="276" w:lineRule="auto"/>
        <w:ind w:firstLine="0"/>
        <w:jc w:val="left"/>
        <w:rPr>
          <w:b/>
        </w:rPr>
      </w:pPr>
      <w:r>
        <w:rPr>
          <w:b/>
        </w:rPr>
        <w:br w:type="page"/>
      </w:r>
    </w:p>
    <w:p w:rsidR="002151AB" w:rsidRPr="000F41C7" w:rsidRDefault="002151AB" w:rsidP="00B73338">
      <w:pPr>
        <w:widowControl w:val="0"/>
        <w:autoSpaceDE w:val="0"/>
        <w:autoSpaceDN w:val="0"/>
        <w:adjustRightInd w:val="0"/>
        <w:spacing w:line="240" w:lineRule="auto"/>
        <w:rPr>
          <w:b/>
        </w:rPr>
      </w:pPr>
      <w:bookmarkStart w:id="0" w:name="_GoBack"/>
      <w:bookmarkEnd w:id="0"/>
      <w:r w:rsidRPr="000F41C7">
        <w:rPr>
          <w:b/>
        </w:rPr>
        <w:lastRenderedPageBreak/>
        <w:t>Cronograma</w:t>
      </w:r>
    </w:p>
    <w:p w:rsidR="002151AB" w:rsidRDefault="002151AB" w:rsidP="002151AB"/>
    <w:tbl>
      <w:tblPr>
        <w:tblStyle w:val="Tabelacomgrade"/>
        <w:tblW w:w="8791" w:type="dxa"/>
        <w:tblLook w:val="04A0" w:firstRow="1" w:lastRow="0" w:firstColumn="1" w:lastColumn="0" w:noHBand="0" w:noVBand="1"/>
      </w:tblPr>
      <w:tblGrid>
        <w:gridCol w:w="5969"/>
        <w:gridCol w:w="336"/>
        <w:gridCol w:w="336"/>
        <w:gridCol w:w="350"/>
        <w:gridCol w:w="336"/>
        <w:gridCol w:w="456"/>
        <w:gridCol w:w="336"/>
        <w:gridCol w:w="336"/>
        <w:gridCol w:w="336"/>
      </w:tblGrid>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Atividade/Trimestre</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1</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2</w:t>
            </w:r>
          </w:p>
        </w:tc>
        <w:tc>
          <w:tcPr>
            <w:tcW w:w="350"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3</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4</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5</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6</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7</w:t>
            </w:r>
          </w:p>
        </w:tc>
        <w:tc>
          <w:tcPr>
            <w:tcW w:w="336"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8</w:t>
            </w: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Obtenção dos créditos das disciplinas</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5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Estudo e revisão bibliográfica</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5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Desenvolvimento e testes do programa</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5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Aplicação do programa em dados experimentais</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2151AB" w:rsidRDefault="002151AB">
            <w:pPr>
              <w:spacing w:after="0" w:line="240" w:lineRule="auto"/>
              <w:ind w:firstLine="0"/>
            </w:pPr>
            <w:r>
              <w:t>x</w:t>
            </w:r>
          </w:p>
        </w:tc>
        <w:tc>
          <w:tcPr>
            <w:tcW w:w="35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4E17AB">
            <w:pPr>
              <w:spacing w:after="0" w:line="240" w:lineRule="auto"/>
              <w:ind w:firstLine="0"/>
            </w:pPr>
            <w:proofErr w:type="spellStart"/>
            <w:r>
              <w:t>xx</w:t>
            </w:r>
            <w:proofErr w:type="spellEnd"/>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Preparação e apresentação de seminário geral de área</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50"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Submissão e apresentação de trabalhos em reuniões e revistas científicas.</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5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Redação da dissertação</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50"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r>
              <w:t>x</w:t>
            </w: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r>
      <w:tr w:rsidR="002151AB" w:rsidTr="002151AB">
        <w:tc>
          <w:tcPr>
            <w:tcW w:w="6089" w:type="dxa"/>
            <w:tcBorders>
              <w:top w:val="single" w:sz="4" w:space="0" w:color="auto"/>
              <w:left w:val="single" w:sz="4" w:space="0" w:color="auto"/>
              <w:bottom w:val="single" w:sz="4" w:space="0" w:color="auto"/>
              <w:right w:val="single" w:sz="4" w:space="0" w:color="auto"/>
            </w:tcBorders>
            <w:hideMark/>
          </w:tcPr>
          <w:p w:rsidR="002151AB" w:rsidRDefault="002151AB">
            <w:pPr>
              <w:spacing w:after="0" w:line="240" w:lineRule="auto"/>
              <w:ind w:firstLine="0"/>
            </w:pPr>
            <w:r>
              <w:t>Defesa do mestrado</w:t>
            </w: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50"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tcPr>
          <w:p w:rsidR="002151AB" w:rsidRDefault="002151AB">
            <w:pPr>
              <w:spacing w:after="0" w:line="240" w:lineRule="auto"/>
              <w:ind w:firstLine="0"/>
            </w:pPr>
          </w:p>
        </w:tc>
        <w:tc>
          <w:tcPr>
            <w:tcW w:w="336" w:type="dxa"/>
            <w:tcBorders>
              <w:top w:val="single" w:sz="4" w:space="0" w:color="auto"/>
              <w:left w:val="single" w:sz="4" w:space="0" w:color="auto"/>
              <w:bottom w:val="single" w:sz="4" w:space="0" w:color="auto"/>
              <w:right w:val="single" w:sz="4" w:space="0" w:color="auto"/>
            </w:tcBorders>
            <w:shd w:val="clear" w:color="auto" w:fill="7F7F7F" w:themeFill="text1" w:themeFillTint="80"/>
          </w:tcPr>
          <w:p w:rsidR="002151AB" w:rsidRDefault="002151AB">
            <w:pPr>
              <w:spacing w:after="0" w:line="240" w:lineRule="auto"/>
              <w:ind w:firstLine="0"/>
            </w:pPr>
          </w:p>
        </w:tc>
      </w:tr>
    </w:tbl>
    <w:p w:rsidR="002151AB" w:rsidRDefault="002151AB" w:rsidP="002151AB"/>
    <w:p w:rsidR="002151AB" w:rsidRDefault="002151AB" w:rsidP="002151AB">
      <w:r>
        <w:t>O cronograma segue sem mudanças ao do plano de trabalho, acrescendo que o desenvolvimento da ferramenta computacional já iniciou um trimestre antes. Os quadros com x representam as atividades iniciadas.</w:t>
      </w:r>
    </w:p>
    <w:sectPr w:rsidR="002151AB" w:rsidSect="00A226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A39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F60CFD"/>
    <w:multiLevelType w:val="multilevel"/>
    <w:tmpl w:val="C69E1C46"/>
    <w:lvl w:ilvl="0">
      <w:start w:val="1"/>
      <w:numFmt w:val="decimal"/>
      <w:lvlText w:val="%1."/>
      <w:lvlJc w:val="left"/>
      <w:pPr>
        <w:ind w:left="360" w:hanging="360"/>
      </w:pPr>
      <w:rPr>
        <w:rFonts w:hint="default"/>
      </w:rPr>
    </w:lvl>
    <w:lvl w:ilvl="1">
      <w:start w:val="1"/>
      <w:numFmt w:val="decimal"/>
      <w:pStyle w:val="Ttulo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A004A1"/>
    <w:multiLevelType w:val="hybridMultilevel"/>
    <w:tmpl w:val="A5261AB4"/>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3" w15:restartNumberingAfterBreak="0">
    <w:nsid w:val="688A5527"/>
    <w:multiLevelType w:val="hybridMultilevel"/>
    <w:tmpl w:val="06682E16"/>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4" w15:restartNumberingAfterBreak="0">
    <w:nsid w:val="70B93AEF"/>
    <w:multiLevelType w:val="hybridMultilevel"/>
    <w:tmpl w:val="38C095C2"/>
    <w:lvl w:ilvl="0" w:tplc="BACCC6B4">
      <w:start w:val="1"/>
      <w:numFmt w:val="bullet"/>
      <w:lvlText w:val=""/>
      <w:lvlJc w:val="left"/>
      <w:pPr>
        <w:tabs>
          <w:tab w:val="num" w:pos="720"/>
        </w:tabs>
        <w:ind w:left="720" w:hanging="360"/>
      </w:pPr>
      <w:rPr>
        <w:rFonts w:ascii="Symbol" w:hAnsi="Symbol" w:hint="default"/>
      </w:rPr>
    </w:lvl>
    <w:lvl w:ilvl="1" w:tplc="68480DF4" w:tentative="1">
      <w:start w:val="1"/>
      <w:numFmt w:val="bullet"/>
      <w:lvlText w:val=""/>
      <w:lvlJc w:val="left"/>
      <w:pPr>
        <w:tabs>
          <w:tab w:val="num" w:pos="1440"/>
        </w:tabs>
        <w:ind w:left="1440" w:hanging="360"/>
      </w:pPr>
      <w:rPr>
        <w:rFonts w:ascii="Symbol" w:hAnsi="Symbol" w:hint="default"/>
      </w:rPr>
    </w:lvl>
    <w:lvl w:ilvl="2" w:tplc="86C84DEE" w:tentative="1">
      <w:start w:val="1"/>
      <w:numFmt w:val="bullet"/>
      <w:lvlText w:val=""/>
      <w:lvlJc w:val="left"/>
      <w:pPr>
        <w:tabs>
          <w:tab w:val="num" w:pos="2160"/>
        </w:tabs>
        <w:ind w:left="2160" w:hanging="360"/>
      </w:pPr>
      <w:rPr>
        <w:rFonts w:ascii="Symbol" w:hAnsi="Symbol" w:hint="default"/>
      </w:rPr>
    </w:lvl>
    <w:lvl w:ilvl="3" w:tplc="0EE4C52C" w:tentative="1">
      <w:start w:val="1"/>
      <w:numFmt w:val="bullet"/>
      <w:lvlText w:val=""/>
      <w:lvlJc w:val="left"/>
      <w:pPr>
        <w:tabs>
          <w:tab w:val="num" w:pos="2880"/>
        </w:tabs>
        <w:ind w:left="2880" w:hanging="360"/>
      </w:pPr>
      <w:rPr>
        <w:rFonts w:ascii="Symbol" w:hAnsi="Symbol" w:hint="default"/>
      </w:rPr>
    </w:lvl>
    <w:lvl w:ilvl="4" w:tplc="E22AE3EE" w:tentative="1">
      <w:start w:val="1"/>
      <w:numFmt w:val="bullet"/>
      <w:lvlText w:val=""/>
      <w:lvlJc w:val="left"/>
      <w:pPr>
        <w:tabs>
          <w:tab w:val="num" w:pos="3600"/>
        </w:tabs>
        <w:ind w:left="3600" w:hanging="360"/>
      </w:pPr>
      <w:rPr>
        <w:rFonts w:ascii="Symbol" w:hAnsi="Symbol" w:hint="default"/>
      </w:rPr>
    </w:lvl>
    <w:lvl w:ilvl="5" w:tplc="C92ADF7C" w:tentative="1">
      <w:start w:val="1"/>
      <w:numFmt w:val="bullet"/>
      <w:lvlText w:val=""/>
      <w:lvlJc w:val="left"/>
      <w:pPr>
        <w:tabs>
          <w:tab w:val="num" w:pos="4320"/>
        </w:tabs>
        <w:ind w:left="4320" w:hanging="360"/>
      </w:pPr>
      <w:rPr>
        <w:rFonts w:ascii="Symbol" w:hAnsi="Symbol" w:hint="default"/>
      </w:rPr>
    </w:lvl>
    <w:lvl w:ilvl="6" w:tplc="13FCFE5A" w:tentative="1">
      <w:start w:val="1"/>
      <w:numFmt w:val="bullet"/>
      <w:lvlText w:val=""/>
      <w:lvlJc w:val="left"/>
      <w:pPr>
        <w:tabs>
          <w:tab w:val="num" w:pos="5040"/>
        </w:tabs>
        <w:ind w:left="5040" w:hanging="360"/>
      </w:pPr>
      <w:rPr>
        <w:rFonts w:ascii="Symbol" w:hAnsi="Symbol" w:hint="default"/>
      </w:rPr>
    </w:lvl>
    <w:lvl w:ilvl="7" w:tplc="640CA090" w:tentative="1">
      <w:start w:val="1"/>
      <w:numFmt w:val="bullet"/>
      <w:lvlText w:val=""/>
      <w:lvlJc w:val="left"/>
      <w:pPr>
        <w:tabs>
          <w:tab w:val="num" w:pos="5760"/>
        </w:tabs>
        <w:ind w:left="5760" w:hanging="360"/>
      </w:pPr>
      <w:rPr>
        <w:rFonts w:ascii="Symbol" w:hAnsi="Symbol" w:hint="default"/>
      </w:rPr>
    </w:lvl>
    <w:lvl w:ilvl="8" w:tplc="3F646C8C"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1C4"/>
    <w:rsid w:val="000D5FF4"/>
    <w:rsid w:val="000E6F26"/>
    <w:rsid w:val="000F41C7"/>
    <w:rsid w:val="00133F53"/>
    <w:rsid w:val="00135B60"/>
    <w:rsid w:val="001D2603"/>
    <w:rsid w:val="001D7465"/>
    <w:rsid w:val="002151AB"/>
    <w:rsid w:val="00264A46"/>
    <w:rsid w:val="00277539"/>
    <w:rsid w:val="00284D3E"/>
    <w:rsid w:val="0031088D"/>
    <w:rsid w:val="003A1800"/>
    <w:rsid w:val="003D601C"/>
    <w:rsid w:val="00460CE3"/>
    <w:rsid w:val="0047702A"/>
    <w:rsid w:val="00482D69"/>
    <w:rsid w:val="004B3A89"/>
    <w:rsid w:val="004E17AB"/>
    <w:rsid w:val="0054387E"/>
    <w:rsid w:val="00564B4F"/>
    <w:rsid w:val="00574A3D"/>
    <w:rsid w:val="00587E8D"/>
    <w:rsid w:val="005C51A2"/>
    <w:rsid w:val="00603CA5"/>
    <w:rsid w:val="00631EBE"/>
    <w:rsid w:val="006874B1"/>
    <w:rsid w:val="006A518E"/>
    <w:rsid w:val="00742009"/>
    <w:rsid w:val="0077117A"/>
    <w:rsid w:val="007820C9"/>
    <w:rsid w:val="007C378A"/>
    <w:rsid w:val="007D4DA7"/>
    <w:rsid w:val="00844DEA"/>
    <w:rsid w:val="00860D3D"/>
    <w:rsid w:val="00882D86"/>
    <w:rsid w:val="009942D7"/>
    <w:rsid w:val="009A347E"/>
    <w:rsid w:val="00A11EB6"/>
    <w:rsid w:val="00A22659"/>
    <w:rsid w:val="00A63C5D"/>
    <w:rsid w:val="00AD0101"/>
    <w:rsid w:val="00AF04B4"/>
    <w:rsid w:val="00B73338"/>
    <w:rsid w:val="00B75AA3"/>
    <w:rsid w:val="00C24E6F"/>
    <w:rsid w:val="00C67E5F"/>
    <w:rsid w:val="00C74C54"/>
    <w:rsid w:val="00CD7280"/>
    <w:rsid w:val="00D311C4"/>
    <w:rsid w:val="00DE560D"/>
    <w:rsid w:val="00DF73A8"/>
    <w:rsid w:val="00E36CA2"/>
    <w:rsid w:val="00E4798D"/>
    <w:rsid w:val="00E87F82"/>
    <w:rsid w:val="00ED43DD"/>
    <w:rsid w:val="00F056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B4305"/>
  <w15:docId w15:val="{225B2730-EF64-4D08-96C6-37F52485F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11C4"/>
    <w:pPr>
      <w:spacing w:after="160" w:line="256" w:lineRule="auto"/>
      <w:ind w:firstLine="709"/>
      <w:jc w:val="both"/>
    </w:pPr>
    <w:rPr>
      <w:rFonts w:ascii="Times New Roman" w:hAnsi="Times New Roman"/>
      <w:sz w:val="24"/>
    </w:rPr>
  </w:style>
  <w:style w:type="paragraph" w:styleId="Ttulo1">
    <w:name w:val="heading 1"/>
    <w:basedOn w:val="Normal"/>
    <w:next w:val="Normal"/>
    <w:link w:val="Ttulo1Char"/>
    <w:autoRedefine/>
    <w:uiPriority w:val="9"/>
    <w:qFormat/>
    <w:rsid w:val="00E36CA2"/>
    <w:pPr>
      <w:keepNext/>
      <w:keepLines/>
      <w:numPr>
        <w:ilvl w:val="1"/>
        <w:numId w:val="1"/>
      </w:numPr>
      <w:spacing w:before="480" w:after="0" w:line="276" w:lineRule="auto"/>
      <w:outlineLvl w:val="0"/>
    </w:pPr>
    <w:rPr>
      <w:rFonts w:eastAsiaTheme="majorEastAsia" w:cstheme="majorBidi"/>
      <w:b/>
      <w:color w:val="000000" w:themeColor="text1"/>
      <w:szCs w:val="32"/>
    </w:rPr>
  </w:style>
  <w:style w:type="paragraph" w:styleId="Ttulo2">
    <w:name w:val="heading 2"/>
    <w:basedOn w:val="Normal"/>
    <w:next w:val="Normal"/>
    <w:link w:val="Ttulo2Char"/>
    <w:autoRedefine/>
    <w:uiPriority w:val="9"/>
    <w:unhideWhenUsed/>
    <w:qFormat/>
    <w:rsid w:val="00E36CA2"/>
    <w:pPr>
      <w:keepNext/>
      <w:keepLines/>
      <w:spacing w:before="40" w:after="0"/>
      <w:ind w:firstLine="0"/>
      <w:outlineLvl w:val="1"/>
    </w:pPr>
    <w:rPr>
      <w:rFonts w:eastAsiaTheme="majorEastAsia" w:cstheme="majorBidi"/>
      <w:b/>
      <w:color w:val="000000" w:themeColor="tex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autoRedefine/>
    <w:uiPriority w:val="35"/>
    <w:unhideWhenUsed/>
    <w:qFormat/>
    <w:rsid w:val="00F056D8"/>
    <w:pPr>
      <w:spacing w:line="240" w:lineRule="auto"/>
      <w:jc w:val="center"/>
    </w:pPr>
    <w:rPr>
      <w:rFonts w:ascii="Arial" w:hAnsi="Arial"/>
      <w:b/>
      <w:bCs/>
      <w:color w:val="000000" w:themeColor="text1"/>
      <w:sz w:val="18"/>
      <w:szCs w:val="18"/>
    </w:rPr>
  </w:style>
  <w:style w:type="character" w:customStyle="1" w:styleId="Ttulo1Char">
    <w:name w:val="Título 1 Char"/>
    <w:basedOn w:val="Fontepargpadro"/>
    <w:link w:val="Ttulo1"/>
    <w:uiPriority w:val="9"/>
    <w:rsid w:val="00E36CA2"/>
    <w:rPr>
      <w:rFonts w:ascii="Times New Roman" w:eastAsiaTheme="majorEastAsia" w:hAnsi="Times New Roman" w:cstheme="majorBidi"/>
      <w:b/>
      <w:color w:val="000000" w:themeColor="text1"/>
      <w:sz w:val="24"/>
      <w:szCs w:val="32"/>
    </w:rPr>
  </w:style>
  <w:style w:type="character" w:customStyle="1" w:styleId="Ttulo2Char">
    <w:name w:val="Título 2 Char"/>
    <w:basedOn w:val="Fontepargpadro"/>
    <w:link w:val="Ttulo2"/>
    <w:uiPriority w:val="9"/>
    <w:rsid w:val="00E36CA2"/>
    <w:rPr>
      <w:rFonts w:ascii="Times New Roman" w:eastAsiaTheme="majorEastAsia" w:hAnsi="Times New Roman" w:cstheme="majorBidi"/>
      <w:b/>
      <w:color w:val="000000" w:themeColor="text1"/>
      <w:sz w:val="26"/>
      <w:szCs w:val="26"/>
    </w:rPr>
  </w:style>
  <w:style w:type="paragraph" w:styleId="PargrafodaLista">
    <w:name w:val="List Paragraph"/>
    <w:basedOn w:val="Normal"/>
    <w:uiPriority w:val="34"/>
    <w:qFormat/>
    <w:rsid w:val="001D7465"/>
    <w:pPr>
      <w:ind w:left="720"/>
      <w:contextualSpacing/>
    </w:pPr>
  </w:style>
  <w:style w:type="table" w:styleId="Tabelacomgrade">
    <w:name w:val="Table Grid"/>
    <w:basedOn w:val="Tabelanormal"/>
    <w:uiPriority w:val="39"/>
    <w:rsid w:val="0021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87E8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7E8D"/>
    <w:rPr>
      <w:rFonts w:ascii="Tahoma" w:hAnsi="Tahoma" w:cs="Tahoma"/>
      <w:sz w:val="16"/>
      <w:szCs w:val="16"/>
    </w:rPr>
  </w:style>
  <w:style w:type="character" w:styleId="TextodoEspaoReservado">
    <w:name w:val="Placeholder Text"/>
    <w:basedOn w:val="Fontepargpadro"/>
    <w:uiPriority w:val="99"/>
    <w:semiHidden/>
    <w:rsid w:val="00E87F82"/>
    <w:rPr>
      <w:color w:val="808080"/>
    </w:rPr>
  </w:style>
  <w:style w:type="character" w:customStyle="1" w:styleId="apple-converted-space">
    <w:name w:val="apple-converted-space"/>
    <w:basedOn w:val="Fontepargpadro"/>
    <w:rsid w:val="00F056D8"/>
  </w:style>
  <w:style w:type="paragraph" w:styleId="NormalWeb">
    <w:name w:val="Normal (Web)"/>
    <w:basedOn w:val="Normal"/>
    <w:uiPriority w:val="99"/>
    <w:semiHidden/>
    <w:unhideWhenUsed/>
    <w:rsid w:val="00A63C5D"/>
    <w:pPr>
      <w:spacing w:before="100" w:beforeAutospacing="1" w:after="100" w:afterAutospacing="1" w:line="240" w:lineRule="auto"/>
      <w:ind w:firstLine="0"/>
      <w:jc w:val="left"/>
    </w:pPr>
    <w:rPr>
      <w:rFonts w:eastAsiaTheme="minorEastAsia"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4533">
      <w:bodyDiv w:val="1"/>
      <w:marLeft w:val="0"/>
      <w:marRight w:val="0"/>
      <w:marTop w:val="0"/>
      <w:marBottom w:val="0"/>
      <w:divBdr>
        <w:top w:val="none" w:sz="0" w:space="0" w:color="auto"/>
        <w:left w:val="none" w:sz="0" w:space="0" w:color="auto"/>
        <w:bottom w:val="none" w:sz="0" w:space="0" w:color="auto"/>
        <w:right w:val="none" w:sz="0" w:space="0" w:color="auto"/>
      </w:divBdr>
    </w:div>
    <w:div w:id="45371737">
      <w:bodyDiv w:val="1"/>
      <w:marLeft w:val="0"/>
      <w:marRight w:val="0"/>
      <w:marTop w:val="0"/>
      <w:marBottom w:val="0"/>
      <w:divBdr>
        <w:top w:val="none" w:sz="0" w:space="0" w:color="auto"/>
        <w:left w:val="none" w:sz="0" w:space="0" w:color="auto"/>
        <w:bottom w:val="none" w:sz="0" w:space="0" w:color="auto"/>
        <w:right w:val="none" w:sz="0" w:space="0" w:color="auto"/>
      </w:divBdr>
    </w:div>
    <w:div w:id="77143918">
      <w:bodyDiv w:val="1"/>
      <w:marLeft w:val="0"/>
      <w:marRight w:val="0"/>
      <w:marTop w:val="0"/>
      <w:marBottom w:val="0"/>
      <w:divBdr>
        <w:top w:val="none" w:sz="0" w:space="0" w:color="auto"/>
        <w:left w:val="none" w:sz="0" w:space="0" w:color="auto"/>
        <w:bottom w:val="none" w:sz="0" w:space="0" w:color="auto"/>
        <w:right w:val="none" w:sz="0" w:space="0" w:color="auto"/>
      </w:divBdr>
    </w:div>
    <w:div w:id="126777635">
      <w:bodyDiv w:val="1"/>
      <w:marLeft w:val="0"/>
      <w:marRight w:val="0"/>
      <w:marTop w:val="0"/>
      <w:marBottom w:val="0"/>
      <w:divBdr>
        <w:top w:val="none" w:sz="0" w:space="0" w:color="auto"/>
        <w:left w:val="none" w:sz="0" w:space="0" w:color="auto"/>
        <w:bottom w:val="none" w:sz="0" w:space="0" w:color="auto"/>
        <w:right w:val="none" w:sz="0" w:space="0" w:color="auto"/>
      </w:divBdr>
    </w:div>
    <w:div w:id="555699397">
      <w:bodyDiv w:val="1"/>
      <w:marLeft w:val="0"/>
      <w:marRight w:val="0"/>
      <w:marTop w:val="0"/>
      <w:marBottom w:val="0"/>
      <w:divBdr>
        <w:top w:val="none" w:sz="0" w:space="0" w:color="auto"/>
        <w:left w:val="none" w:sz="0" w:space="0" w:color="auto"/>
        <w:bottom w:val="none" w:sz="0" w:space="0" w:color="auto"/>
        <w:right w:val="none" w:sz="0" w:space="0" w:color="auto"/>
      </w:divBdr>
    </w:div>
    <w:div w:id="609237837">
      <w:bodyDiv w:val="1"/>
      <w:marLeft w:val="0"/>
      <w:marRight w:val="0"/>
      <w:marTop w:val="0"/>
      <w:marBottom w:val="0"/>
      <w:divBdr>
        <w:top w:val="none" w:sz="0" w:space="0" w:color="auto"/>
        <w:left w:val="none" w:sz="0" w:space="0" w:color="auto"/>
        <w:bottom w:val="none" w:sz="0" w:space="0" w:color="auto"/>
        <w:right w:val="none" w:sz="0" w:space="0" w:color="auto"/>
      </w:divBdr>
    </w:div>
    <w:div w:id="665790260">
      <w:bodyDiv w:val="1"/>
      <w:marLeft w:val="0"/>
      <w:marRight w:val="0"/>
      <w:marTop w:val="0"/>
      <w:marBottom w:val="0"/>
      <w:divBdr>
        <w:top w:val="none" w:sz="0" w:space="0" w:color="auto"/>
        <w:left w:val="none" w:sz="0" w:space="0" w:color="auto"/>
        <w:bottom w:val="none" w:sz="0" w:space="0" w:color="auto"/>
        <w:right w:val="none" w:sz="0" w:space="0" w:color="auto"/>
      </w:divBdr>
    </w:div>
    <w:div w:id="929119310">
      <w:bodyDiv w:val="1"/>
      <w:marLeft w:val="0"/>
      <w:marRight w:val="0"/>
      <w:marTop w:val="0"/>
      <w:marBottom w:val="0"/>
      <w:divBdr>
        <w:top w:val="none" w:sz="0" w:space="0" w:color="auto"/>
        <w:left w:val="none" w:sz="0" w:space="0" w:color="auto"/>
        <w:bottom w:val="none" w:sz="0" w:space="0" w:color="auto"/>
        <w:right w:val="none" w:sz="0" w:space="0" w:color="auto"/>
      </w:divBdr>
    </w:div>
    <w:div w:id="1047413593">
      <w:bodyDiv w:val="1"/>
      <w:marLeft w:val="0"/>
      <w:marRight w:val="0"/>
      <w:marTop w:val="0"/>
      <w:marBottom w:val="0"/>
      <w:divBdr>
        <w:top w:val="none" w:sz="0" w:space="0" w:color="auto"/>
        <w:left w:val="none" w:sz="0" w:space="0" w:color="auto"/>
        <w:bottom w:val="none" w:sz="0" w:space="0" w:color="auto"/>
        <w:right w:val="none" w:sz="0" w:space="0" w:color="auto"/>
      </w:divBdr>
    </w:div>
    <w:div w:id="1162156294">
      <w:bodyDiv w:val="1"/>
      <w:marLeft w:val="0"/>
      <w:marRight w:val="0"/>
      <w:marTop w:val="0"/>
      <w:marBottom w:val="0"/>
      <w:divBdr>
        <w:top w:val="none" w:sz="0" w:space="0" w:color="auto"/>
        <w:left w:val="none" w:sz="0" w:space="0" w:color="auto"/>
        <w:bottom w:val="none" w:sz="0" w:space="0" w:color="auto"/>
        <w:right w:val="none" w:sz="0" w:space="0" w:color="auto"/>
      </w:divBdr>
      <w:divsChild>
        <w:div w:id="283120338">
          <w:marLeft w:val="432"/>
          <w:marRight w:val="0"/>
          <w:marTop w:val="106"/>
          <w:marBottom w:val="0"/>
          <w:divBdr>
            <w:top w:val="none" w:sz="0" w:space="0" w:color="auto"/>
            <w:left w:val="none" w:sz="0" w:space="0" w:color="auto"/>
            <w:bottom w:val="none" w:sz="0" w:space="0" w:color="auto"/>
            <w:right w:val="none" w:sz="0" w:space="0" w:color="auto"/>
          </w:divBdr>
        </w:div>
        <w:div w:id="281352394">
          <w:marLeft w:val="432"/>
          <w:marRight w:val="0"/>
          <w:marTop w:val="106"/>
          <w:marBottom w:val="0"/>
          <w:divBdr>
            <w:top w:val="none" w:sz="0" w:space="0" w:color="auto"/>
            <w:left w:val="none" w:sz="0" w:space="0" w:color="auto"/>
            <w:bottom w:val="none" w:sz="0" w:space="0" w:color="auto"/>
            <w:right w:val="none" w:sz="0" w:space="0" w:color="auto"/>
          </w:divBdr>
        </w:div>
        <w:div w:id="206187418">
          <w:marLeft w:val="432"/>
          <w:marRight w:val="0"/>
          <w:marTop w:val="106"/>
          <w:marBottom w:val="0"/>
          <w:divBdr>
            <w:top w:val="none" w:sz="0" w:space="0" w:color="auto"/>
            <w:left w:val="none" w:sz="0" w:space="0" w:color="auto"/>
            <w:bottom w:val="none" w:sz="0" w:space="0" w:color="auto"/>
            <w:right w:val="none" w:sz="0" w:space="0" w:color="auto"/>
          </w:divBdr>
        </w:div>
      </w:divsChild>
    </w:div>
    <w:div w:id="1223447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6143">
          <w:marLeft w:val="907"/>
          <w:marRight w:val="0"/>
          <w:marTop w:val="106"/>
          <w:marBottom w:val="0"/>
          <w:divBdr>
            <w:top w:val="none" w:sz="0" w:space="0" w:color="auto"/>
            <w:left w:val="none" w:sz="0" w:space="0" w:color="auto"/>
            <w:bottom w:val="none" w:sz="0" w:space="0" w:color="auto"/>
            <w:right w:val="none" w:sz="0" w:space="0" w:color="auto"/>
          </w:divBdr>
        </w:div>
      </w:divsChild>
    </w:div>
    <w:div w:id="1239169002">
      <w:bodyDiv w:val="1"/>
      <w:marLeft w:val="0"/>
      <w:marRight w:val="0"/>
      <w:marTop w:val="0"/>
      <w:marBottom w:val="0"/>
      <w:divBdr>
        <w:top w:val="none" w:sz="0" w:space="0" w:color="auto"/>
        <w:left w:val="none" w:sz="0" w:space="0" w:color="auto"/>
        <w:bottom w:val="none" w:sz="0" w:space="0" w:color="auto"/>
        <w:right w:val="none" w:sz="0" w:space="0" w:color="auto"/>
      </w:divBdr>
    </w:div>
    <w:div w:id="1239629031">
      <w:bodyDiv w:val="1"/>
      <w:marLeft w:val="0"/>
      <w:marRight w:val="0"/>
      <w:marTop w:val="0"/>
      <w:marBottom w:val="0"/>
      <w:divBdr>
        <w:top w:val="none" w:sz="0" w:space="0" w:color="auto"/>
        <w:left w:val="none" w:sz="0" w:space="0" w:color="auto"/>
        <w:bottom w:val="none" w:sz="0" w:space="0" w:color="auto"/>
        <w:right w:val="none" w:sz="0" w:space="0" w:color="auto"/>
      </w:divBdr>
      <w:divsChild>
        <w:div w:id="204876767">
          <w:marLeft w:val="432"/>
          <w:marRight w:val="0"/>
          <w:marTop w:val="115"/>
          <w:marBottom w:val="0"/>
          <w:divBdr>
            <w:top w:val="none" w:sz="0" w:space="0" w:color="auto"/>
            <w:left w:val="none" w:sz="0" w:space="0" w:color="auto"/>
            <w:bottom w:val="none" w:sz="0" w:space="0" w:color="auto"/>
            <w:right w:val="none" w:sz="0" w:space="0" w:color="auto"/>
          </w:divBdr>
        </w:div>
        <w:div w:id="232088955">
          <w:marLeft w:val="907"/>
          <w:marRight w:val="0"/>
          <w:marTop w:val="106"/>
          <w:marBottom w:val="0"/>
          <w:divBdr>
            <w:top w:val="none" w:sz="0" w:space="0" w:color="auto"/>
            <w:left w:val="none" w:sz="0" w:space="0" w:color="auto"/>
            <w:bottom w:val="none" w:sz="0" w:space="0" w:color="auto"/>
            <w:right w:val="none" w:sz="0" w:space="0" w:color="auto"/>
          </w:divBdr>
        </w:div>
      </w:divsChild>
    </w:div>
    <w:div w:id="1380476182">
      <w:bodyDiv w:val="1"/>
      <w:marLeft w:val="0"/>
      <w:marRight w:val="0"/>
      <w:marTop w:val="0"/>
      <w:marBottom w:val="0"/>
      <w:divBdr>
        <w:top w:val="none" w:sz="0" w:space="0" w:color="auto"/>
        <w:left w:val="none" w:sz="0" w:space="0" w:color="auto"/>
        <w:bottom w:val="none" w:sz="0" w:space="0" w:color="auto"/>
        <w:right w:val="none" w:sz="0" w:space="0" w:color="auto"/>
      </w:divBdr>
    </w:div>
    <w:div w:id="1541044660">
      <w:bodyDiv w:val="1"/>
      <w:marLeft w:val="0"/>
      <w:marRight w:val="0"/>
      <w:marTop w:val="0"/>
      <w:marBottom w:val="0"/>
      <w:divBdr>
        <w:top w:val="none" w:sz="0" w:space="0" w:color="auto"/>
        <w:left w:val="none" w:sz="0" w:space="0" w:color="auto"/>
        <w:bottom w:val="none" w:sz="0" w:space="0" w:color="auto"/>
        <w:right w:val="none" w:sz="0" w:space="0" w:color="auto"/>
      </w:divBdr>
      <w:divsChild>
        <w:div w:id="1639263070">
          <w:marLeft w:val="432"/>
          <w:marRight w:val="0"/>
          <w:marTop w:val="96"/>
          <w:marBottom w:val="0"/>
          <w:divBdr>
            <w:top w:val="none" w:sz="0" w:space="0" w:color="auto"/>
            <w:left w:val="none" w:sz="0" w:space="0" w:color="auto"/>
            <w:bottom w:val="none" w:sz="0" w:space="0" w:color="auto"/>
            <w:right w:val="none" w:sz="0" w:space="0" w:color="auto"/>
          </w:divBdr>
        </w:div>
      </w:divsChild>
    </w:div>
    <w:div w:id="1706562098">
      <w:bodyDiv w:val="1"/>
      <w:marLeft w:val="0"/>
      <w:marRight w:val="0"/>
      <w:marTop w:val="0"/>
      <w:marBottom w:val="0"/>
      <w:divBdr>
        <w:top w:val="none" w:sz="0" w:space="0" w:color="auto"/>
        <w:left w:val="none" w:sz="0" w:space="0" w:color="auto"/>
        <w:bottom w:val="none" w:sz="0" w:space="0" w:color="auto"/>
        <w:right w:val="none" w:sz="0" w:space="0" w:color="auto"/>
      </w:divBdr>
    </w:div>
    <w:div w:id="2100247062">
      <w:bodyDiv w:val="1"/>
      <w:marLeft w:val="0"/>
      <w:marRight w:val="0"/>
      <w:marTop w:val="0"/>
      <w:marBottom w:val="0"/>
      <w:divBdr>
        <w:top w:val="none" w:sz="0" w:space="0" w:color="auto"/>
        <w:left w:val="none" w:sz="0" w:space="0" w:color="auto"/>
        <w:bottom w:val="none" w:sz="0" w:space="0" w:color="auto"/>
        <w:right w:val="none" w:sz="0" w:space="0" w:color="auto"/>
      </w:divBdr>
      <w:divsChild>
        <w:div w:id="132259141">
          <w:marLeft w:val="432"/>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07B25AF-90FA-45F8-8951-2876A25C9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7916</Words>
  <Characters>42747</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lgallego</dc:creator>
  <cp:lastModifiedBy>Andrezio</cp:lastModifiedBy>
  <cp:revision>7</cp:revision>
  <dcterms:created xsi:type="dcterms:W3CDTF">2017-03-23T18:52:00Z</dcterms:created>
  <dcterms:modified xsi:type="dcterms:W3CDTF">2017-03-24T00:07:00Z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02bb7af2-e9f8-3ae6-b8cb-aa25789c0c13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http://www.zotero.org/styles/associacao-brasileira-de-normas-tecnicas-usp-fmvz</vt:lpwstr>
  </property>
  <property fmtid="{D5CDD505-2E9C-101B-9397-08002B2CF9AE}" pid="11" name="Mendeley Recent Style Name 3_1">
    <vt:lpwstr>Associação Brasileira de Normas Técnicas - Faculdade de Medicina Veterinária e Zootecnia - USP (Portuguese - Brazil)</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http://www.zotero.org/styles/associacao-brasileira-de-normas-tecnicas-usp-fmvz</vt:lpwstr>
  </property>
</Properties>
</file>