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4D3A"/>
          <w:sz w:val="40"/>
        </w:rPr>
        <w:t>BOWATER SYKES</w:t>
      </w:r>
    </w:p>
    <w:p>
      <w:pPr>
        <w:spacing w:after="40"/>
      </w:pPr>
      <w:r>
        <w:rPr>
          <w:b w:val="0"/>
          <w:i w:val="0"/>
          <w:color w:val="1F4D3A"/>
          <w:sz w:val="18"/>
        </w:rPr>
        <w:t>SOLICITORS</w:t>
      </w:r>
    </w:p>
    <w:p>
      <w:pPr>
        <w:spacing w:after="280"/>
        <w:pBdr>
          <w:bottom w:val="single" w:sz="8" w:space="4" w:color="1F4D3A"/>
        </w:pBdr>
      </w:pPr>
      <w:r>
        <w:rPr>
          <w:b w:val="0"/>
          <w:i w:val="0"/>
          <w:color w:val="555555"/>
          <w:sz w:val="17"/>
        </w:rPr>
        <w:t>Wellington Place, 10 Wellington Street, Leeds LS1 4AP  |  T 0113 380 2150  |  DX 12017 Leeds</w:t>
      </w:r>
    </w:p>
    <w:p>
      <w:pPr>
        <w:spacing w:after="0"/>
      </w:pPr>
      <w:r>
        <w:rPr>
          <w:b w:val="0"/>
          <w:i w:val="0"/>
        </w:rPr>
        <w:t>Adam Frith</w:t>
      </w:r>
    </w:p>
    <w:p>
      <w:pPr>
        <w:spacing w:after="0"/>
      </w:pPr>
      <w:r>
        <w:rPr>
          <w:b w:val="0"/>
          <w:i w:val="0"/>
        </w:rPr>
        <w:t>Aldridge Vine LLP</w:t>
      </w:r>
    </w:p>
    <w:p>
      <w:pPr>
        <w:spacing w:after="0"/>
      </w:pPr>
      <w:r>
        <w:rPr>
          <w:b w:val="0"/>
          <w:i w:val="0"/>
        </w:rPr>
        <w:t>Minerva House</w:t>
      </w:r>
    </w:p>
    <w:p>
      <w:pPr>
        <w:spacing w:after="0"/>
      </w:pPr>
      <w:r>
        <w:rPr>
          <w:b w:val="0"/>
          <w:i w:val="0"/>
        </w:rPr>
        <w:t>29 East Parade</w:t>
      </w:r>
    </w:p>
    <w:p>
      <w:pPr>
        <w:spacing w:after="0"/>
      </w:pPr>
      <w:r>
        <w:rPr>
          <w:b w:val="0"/>
          <w:i w:val="0"/>
        </w:rPr>
        <w:t>Leeds LS1 5PS</w:t>
      </w:r>
    </w:p>
    <w:p>
      <w:pPr>
        <w:spacing w:after="80"/>
      </w:pPr>
      <w:r>
        <w:rPr>
          <w:b w:val="0"/>
          <w:i w:val="0"/>
        </w:rPr>
      </w:r>
    </w:p>
    <w:p>
      <w:pPr>
        <w:spacing w:after="160"/>
      </w:pPr>
      <w:r>
        <w:rPr>
          <w:b w:val="0"/>
          <w:i/>
        </w:rPr>
        <w:t>By email and post</w:t>
      </w:r>
    </w:p>
    <w:p>
      <w:pPr>
        <w:spacing w:after="0"/>
      </w:pPr>
      <w:r>
        <w:rPr>
          <w:b w:val="0"/>
          <w:i w:val="0"/>
        </w:rPr>
        <w:t>9 April 2026</w:t>
      </w:r>
    </w:p>
    <w:p>
      <w:pPr>
        <w:spacing w:after="0"/>
      </w:pPr>
      <w:r>
        <w:rPr>
          <w:b w:val="0"/>
          <w:i w:val="0"/>
        </w:rPr>
        <w:t>Our ref: BS/CLL/2291</w:t>
      </w:r>
    </w:p>
    <w:p>
      <w:pPr>
        <w:spacing w:after="200"/>
      </w:pPr>
      <w:r>
        <w:rPr>
          <w:b w:val="0"/>
          <w:i w:val="0"/>
        </w:rPr>
        <w:t>Your ref: AV/HR/NAIR/0318</w:t>
      </w:r>
    </w:p>
    <w:p>
      <w:r>
        <w:rPr>
          <w:b w:val="0"/>
          <w:i w:val="0"/>
        </w:rPr>
        <w:t>Dear Sirs</w:t>
      </w:r>
    </w:p>
    <w:p>
      <w:r>
        <w:rPr>
          <w:b/>
          <w:i w:val="0"/>
        </w:rPr>
        <w:t>Nair v Calderdale Logistics Limited - Case No 1803442/2025</w:t>
        <w:br/>
        <w:t>Remedy hearing listed for 11 May 2026</w:t>
      </w:r>
    </w:p>
    <w:p>
      <w:r>
        <w:rPr>
          <w:b w:val="0"/>
          <w:i w:val="0"/>
        </w:rPr>
        <w:t>We refer to the reserved judgment sent to the parties on 19 March 2026. Our client is considering its position on an appeal and reserves all of its rights. Without prejudice to that, we set out our client's position on remedy so that the issues for the hearing on 11 May 2026 can be narrowed.</w:t>
      </w:r>
    </w:p>
    <w:p>
      <w:pPr>
        <w:spacing w:after="140"/>
      </w:pPr>
      <w:r>
        <w:rPr>
          <w:b/>
        </w:rPr>
        <w:t xml:space="preserve">1.  </w:t>
      </w:r>
      <w:r>
        <w:rPr>
          <w:b/>
        </w:rPr>
        <w:t xml:space="preserve">Mitigation. </w:t>
      </w:r>
      <w:r>
        <w:t>Your client has produced no evidence of any search for work since her dismissal on 31 March 2025. An Operations Manager with her experience could reasonably have found comparable work within six months. Any compensatory award should stop at 30 September 2025, and the claim for six months' future loss should be withdrawn.</w:t>
      </w:r>
    </w:p>
    <w:p>
      <w:pPr>
        <w:spacing w:after="140"/>
      </w:pPr>
      <w:r>
        <w:rPr>
          <w:b/>
        </w:rPr>
        <w:t xml:space="preserve">2.  </w:t>
      </w:r>
      <w:r>
        <w:rPr>
          <w:b/>
        </w:rPr>
        <w:t xml:space="preserve">Reduction for what would have happened anyway. </w:t>
      </w:r>
      <w:r>
        <w:t>The restructuring of the operations function would have gone ahead in any event. Had a fuller consultation been held, your client's role would still have ended by 30 June 2025. We will ask the Tribunal to limit any loss of earnings to the period before that date.</w:t>
      </w:r>
    </w:p>
    <w:p>
      <w:pPr>
        <w:spacing w:after="140"/>
      </w:pPr>
      <w:r>
        <w:rPr>
          <w:b/>
        </w:rPr>
        <w:t xml:space="preserve">3.  </w:t>
      </w:r>
      <w:r>
        <w:rPr>
          <w:b/>
        </w:rPr>
        <w:t xml:space="preserve">Remedy bundle and timetable. </w:t>
      </w:r>
      <w:r>
        <w:t>We propose that the parties agree a single joint remedy bundle, and that both sides exchange an updated schedule of loss and any witness statements on remedy by 4pm on 24 April 2026.</w:t>
      </w:r>
    </w:p>
    <w:p>
      <w:pPr>
        <w:spacing w:after="140"/>
      </w:pPr>
      <w:r>
        <w:rPr>
          <w:b/>
        </w:rPr>
        <w:t xml:space="preserve">4.  </w:t>
      </w:r>
      <w:r>
        <w:rPr>
          <w:b/>
        </w:rPr>
        <w:t xml:space="preserve">Injury to feelings. </w:t>
      </w:r>
      <w:r>
        <w:t>The claim of GBP 18,000 in the middle Vento band is excessive. Your client's employment ended after a short process and there is no lasting injury. Any award should fall within the lower band.</w:t>
      </w:r>
    </w:p>
    <w:p>
      <w:r>
        <w:rPr>
          <w:b w:val="0"/>
          <w:i w:val="0"/>
        </w:rPr>
        <w:t>Our client's schedule of loss figure of GBP 71,640 is therefore disputed in full. We invite you to respond to each of the points above within 14 days of the date of this letter.</w:t>
      </w:r>
    </w:p>
    <w:p>
      <w:pPr>
        <w:spacing w:after="480"/>
      </w:pPr>
      <w:r>
        <w:rPr>
          <w:b w:val="0"/>
          <w:i w:val="0"/>
        </w:rPr>
        <w:t>Yours faithfully</w:t>
      </w:r>
    </w:p>
    <w:p>
      <w:pPr>
        <w:spacing w:after="0"/>
      </w:pPr>
      <w:r>
        <w:rPr>
          <w:b/>
          <w:i w:val="0"/>
        </w:rPr>
        <w:t>Bowater Sykes Solicitors</w:t>
      </w:r>
    </w:p>
    <w:p>
      <w:r>
        <w:rPr>
          <w:b w:val="0"/>
          <w:i w:val="0"/>
          <w:color w:val="555555"/>
          <w:sz w:val="16"/>
        </w:rPr>
        <w:t>Regulated by the Solicitors Regulation Authority</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