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B2A86"/>
          <w:sz w:val="28"/>
        </w:rPr>
        <w:t>Aldridge Vine LLP</w:t>
      </w:r>
    </w:p>
    <w:p>
      <w:pPr>
        <w:spacing w:after="0" w:before="0"/>
      </w:pPr>
      <w:r>
        <w:rPr>
          <w:color w:val="646464"/>
          <w:sz w:val="16"/>
        </w:rPr>
        <w:t>Minerva House</w:t>
      </w:r>
    </w:p>
    <w:p>
      <w:pPr>
        <w:spacing w:after="0" w:before="0"/>
      </w:pPr>
      <w:r>
        <w:rPr>
          <w:color w:val="646464"/>
          <w:sz w:val="16"/>
        </w:rPr>
        <w:t>29 East Parade</w:t>
      </w:r>
    </w:p>
    <w:p>
      <w:pPr>
        <w:spacing w:after="0" w:before="0"/>
      </w:pPr>
      <w:r>
        <w:rPr>
          <w:color w:val="646464"/>
          <w:sz w:val="16"/>
        </w:rPr>
        <w:t>Leeds LS1 5PS</w:t>
      </w:r>
    </w:p>
    <w:p>
      <w:pPr>
        <w:spacing w:after="0" w:before="0"/>
      </w:pPr>
      <w:r>
        <w:rPr>
          <w:color w:val="646464"/>
          <w:sz w:val="16"/>
        </w:rPr>
        <w:t>Tel: 0113 246 8800</w:t>
      </w:r>
    </w:p>
    <w:p>
      <w:pPr>
        <w:spacing w:after="0" w:before="0"/>
      </w:pPr>
      <w:r>
        <w:rPr>
          <w:color w:val="646464"/>
          <w:sz w:val="16"/>
        </w:rPr>
        <w:t>DX 26411 Leeds Park Square</w:t>
      </w:r>
    </w:p>
    <w:p>
      <w:pPr>
        <w:spacing w:after="0" w:before="0"/>
        <w:pBdr>
          <w:bottom w:val="single" w:sz="12" w:space="1" w:color="5B2A86"/>
        </w:pBdr>
      </w:pPr>
      <w:r>
        <w:rPr>
          <w:color w:val="646464"/>
          <w:sz w:val="16"/>
        </w:rPr>
        <w:t>www.aldridgevine.co.uk</w:t>
      </w:r>
    </w:p>
    <w:p>
      <w:pPr>
        <w:spacing w:before="240"/>
      </w:pPr>
      <w:r>
        <w:rPr>
          <w:b/>
          <w:sz w:val="20"/>
        </w:rPr>
        <w:t>OHNE PRÄJUDIZ, VORBEHALTLICH DER KOSTENFRAGE</w:t>
      </w:r>
    </w:p>
    <w:p/>
    <w:p>
      <w:pPr>
        <w:spacing w:after="0" w:before="0"/>
      </w:pPr>
      <w:r>
        <w:t>Bowater Sykes Solicitors</w:t>
      </w:r>
    </w:p>
    <w:p>
      <w:pPr>
        <w:spacing w:after="0" w:before="0"/>
      </w:pPr>
      <w:r>
        <w:t>Wellington Place</w:t>
      </w:r>
    </w:p>
    <w:p>
      <w:pPr>
        <w:spacing w:after="0" w:before="0"/>
      </w:pPr>
      <w:r>
        <w:t>10 Wellington Street</w:t>
      </w:r>
    </w:p>
    <w:p>
      <w:pPr>
        <w:spacing w:after="0" w:before="0"/>
      </w:pPr>
      <w:r>
        <w:t>Leeds LS1 4AP</w:t>
      </w:r>
    </w:p>
    <w:p/>
    <w:p>
      <w:pPr>
        <w:spacing w:after="40"/>
      </w:pPr>
      <w:r>
        <w:t>12. Januar 2026</w:t>
      </w:r>
    </w:p>
    <w:p>
      <w:pPr>
        <w:spacing w:after="40"/>
      </w:pPr>
      <w:r>
        <w:rPr>
          <w:sz w:val="18"/>
        </w:rPr>
        <w:t>Unser Zeichen: AV/HR/NAIR/0318</w:t>
      </w:r>
    </w:p>
    <w:p>
      <w:pPr>
        <w:spacing w:after="40"/>
      </w:pPr>
      <w:r>
        <w:rPr>
          <w:sz w:val="18"/>
        </w:rPr>
        <w:t>Ihr Zeichen: BS/CLL/2291</w:t>
      </w:r>
    </w:p>
    <w:p/>
    <w:p>
      <w:pPr>
        <w:spacing w:after="120"/>
      </w:pPr>
      <w:r>
        <w:t>Sehr geehrte Damen und Herren,</w:t>
      </w:r>
    </w:p>
    <w:p>
      <w:pPr>
        <w:spacing w:after="200"/>
        <w:jc w:val="center"/>
      </w:pPr>
      <w:r>
        <w:rPr>
          <w:b/>
          <w:sz w:val="22"/>
          <w:u w:val="single"/>
        </w:rPr>
        <w:t>Betreff: Nair ./. Calderdale Logistics Limited, Az. 1803442/2025</w:t>
      </w:r>
    </w:p>
    <w:p>
      <w:pPr>
        <w:spacing w:after="160"/>
      </w:pPr>
      <w:r>
        <w:rPr>
          <w:sz w:val="22"/>
        </w:rPr>
        <w:t>wir vertreten Frau Priya Nair, die Klägerin im oben genannten Verfahren. Ohne Präjudiz regen wir an, dass Ihre Mandantin die Sache vor der für Februar 2026 angesetzten Hauptverhandlung vergleichsweise erledigt.</w:t>
      </w:r>
    </w:p>
    <w:p>
      <w:pPr>
        <w:spacing w:after="160"/>
      </w:pPr>
      <w:r>
        <w:rPr>
          <w:sz w:val="22"/>
        </w:rPr>
        <w:t>Die Ansprüche unserer Mandantin wegen ungerechtfertigter Kündigung und Diskriminierung sind gut begründet. Die zeitnah erstellten Unterlagen stützen keinen echten Wegfall des Arbeitsplatzes, und die Weiterbeschäftigung von Herrn Thornton, der als Vertretung während des Mutterschaftsurlaubs unserer Mandantin eingestellt wurde, auf ihrer früheren Stelle ist auffällig. Die Beweislast nach Section 136 des Equality Act 2010 wird sich auf Ihre Mandantin verlagern.</w:t>
      </w:r>
    </w:p>
    <w:p>
      <w:pPr>
        <w:spacing w:after="160"/>
      </w:pPr>
      <w:r>
        <w:rPr>
          <w:sz w:val="22"/>
        </w:rPr>
        <w:t>Die Schadensaufstellung unserer Mandantin beläuft sich auf insgesamt 71.640 GBP. Sie umfasst eine Grundabfindung, den bisherigen und künftigen Verdienstausfall sowie eine Entschädigung für immaterielle Schäden im mittleren Vento-Band, zuzüglich Zinsen und eines etwaigen Aufschlags wegen Nichtbeachtung des Acas Code.</w:t>
      </w:r>
    </w:p>
    <w:p>
      <w:pPr>
        <w:spacing w:after="160"/>
      </w:pPr>
      <w:r>
        <w:rPr>
          <w:sz w:val="22"/>
        </w:rPr>
        <w:t>Unsere Mandantin ist bereit, sämtliche Ansprüche gegen Zahlung von pauschal 52.000 GBP im Wege einer COT3-Vereinbarung über Acas zu noch abzustimmenden Bedingungen zu erledigen. Dieses Angebot gilt 21 Tage; danach wird sich unsere Mandantin in der Kostenfrage auf dieses Schreiben berufen.</w:t>
      </w:r>
    </w:p>
    <w:p>
      <w:pPr>
        <w:spacing w:after="160"/>
      </w:pPr>
      <w:r>
        <w:rPr>
          <w:sz w:val="22"/>
        </w:rPr>
        <w:t>Wir sehen Ihrer Antwort entgegen.</w:t>
      </w:r>
    </w:p>
    <w:p/>
    <w:p>
      <w:pPr>
        <w:spacing w:after="480"/>
      </w:pPr>
      <w:r>
        <w:t>Mit freundlichen Grüßen</w:t>
      </w:r>
    </w:p>
    <w:p>
      <w:r>
        <w:rPr>
          <w:b/>
          <w:sz w:val="22"/>
        </w:rPr>
        <w:t>Aldridge Vine LLP</w:t>
      </w:r>
    </w:p>
    <w:p>
      <w:r>
        <w:rPr>
          <w:sz w:val="20"/>
        </w:rPr>
        <w:t>Aldridge Vine LLP</w:t>
        <w:br/>
      </w:r>
    </w:p>
    <w:p/>
    <w:p>
      <w:pPr>
        <w:spacing w:after="0" w:before="0"/>
      </w:pPr>
      <w:r>
        <w:rPr>
          <w:color w:val="646464"/>
          <w:sz w:val="14"/>
        </w:rPr>
        <w:t>Zugelassen und beaufsichtigt durch die Solicitors Regulation Authority</w:t>
      </w:r>
    </w:p>
    <w:sectPr w:rsidR="00FC693F" w:rsidRPr="0006063C" w:rsidSect="00034616">
      <w:headerReference w:type="default" r:id="rId9"/>
      <w:footerReference w:type="default" r:id="rId10"/>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