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00"/>
      </w:pPr>
      <w:r>
        <w:rPr>
          <w:rFonts w:ascii="Georgia" w:hAnsi="Georgia"/>
          <w:b/>
          <w:sz w:val="18"/>
          <w:u w:val="none"/>
          <w:lang w:val="en-GB"/>
        </w:rPr>
        <w:t xml:space="preserve">PRIVATE AND CONFIDENTIAL</w:t>
      </w:r>
    </w:p>
    <w:p>
      <w:pPr>
        <w:spacing w:after="0" w:before="0"/>
      </w:pPr>
      <w:r>
        <w:rPr>
          <w:rFonts w:ascii="Georgia" w:hAnsi="Georgia"/>
          <w:b w:val="0"/>
          <w:sz w:val="22"/>
          <w:u w:val="none"/>
          <w:lang w:val="en-GB"/>
        </w:rPr>
        <w:t xml:space="preserve">Ms Priya Nair</w:t>
      </w:r>
    </w:p>
    <w:p>
      <w:pPr>
        <w:spacing w:after="0" w:before="0"/>
      </w:pPr>
      <w:r>
        <w:rPr>
          <w:rFonts w:ascii="Georgia" w:hAnsi="Georgia"/>
          <w:b w:val="0"/>
          <w:sz w:val="22"/>
          <w:u w:val="none"/>
          <w:lang w:val="en-GB"/>
        </w:rPr>
        <w:t xml:space="preserve">14 Saltaire Road</w:t>
      </w:r>
    </w:p>
    <w:p>
      <w:pPr>
        <w:spacing w:after="0" w:before="0"/>
      </w:pPr>
      <w:r>
        <w:rPr>
          <w:rFonts w:ascii="Georgia" w:hAnsi="Georgia"/>
          <w:b w:val="0"/>
          <w:sz w:val="22"/>
          <w:u w:val="none"/>
          <w:lang w:val="en-GB"/>
        </w:rPr>
        <w:t xml:space="preserve">Shipley</w:t>
      </w:r>
    </w:p>
    <w:p>
      <w:pPr>
        <w:spacing w:after="0" w:before="0"/>
      </w:pPr>
      <w:r>
        <w:rPr>
          <w:rFonts w:ascii="Georgia" w:hAnsi="Georgia"/>
          <w:b w:val="0"/>
          <w:sz w:val="22"/>
          <w:u w:val="none"/>
          <w:lang w:val="en-GB"/>
        </w:rPr>
        <w:t xml:space="preserve">West Yorkshire BD18 3HN</w:t>
      </w:r>
    </w:p>
    <w:p>
      <w:pPr>
        <w:spacing w:after="40" w:before="240"/>
      </w:pPr>
      <w:r>
        <w:rPr>
          <w:rFonts w:ascii="Georgia" w:hAnsi="Georgia"/>
          <w:b w:val="0"/>
          <w:sz w:val="22"/>
          <w:u w:val="none"/>
          <w:lang w:val="en-GB"/>
        </w:rPr>
        <w:t xml:space="preserve">22 September 2026</w:t>
      </w:r>
    </w:p>
    <w:p>
      <w:pPr>
        <w:spacing w:after="40" w:before="0"/>
      </w:pPr>
      <w:r>
        <w:rPr>
          <w:rFonts w:ascii="Georgia" w:hAnsi="Georgia"/>
          <w:b w:val="0"/>
          <w:sz w:val="18"/>
          <w:u w:val="none"/>
          <w:lang w:val="en-GB"/>
        </w:rPr>
        <w:t xml:space="preserve">Our ref: AV/HR/NAIR/0318</w:t>
      </w:r>
    </w:p>
    <w:p>
      <w:pPr>
        <w:spacing w:after="240" w:before="0"/>
      </w:pPr>
      <w:r>
        <w:rPr>
          <w:rFonts w:ascii="Georgia" w:hAnsi="Georgia"/>
          <w:b w:val="0"/>
          <w:sz w:val="18"/>
          <w:u w:val="none"/>
          <w:lang w:val="en-GB"/>
        </w:rPr>
        <w:t xml:space="preserve">Your ref: -</w:t>
      </w:r>
    </w:p>
    <w:p>
      <w:pPr>
        <w:spacing w:after="200" w:before="0"/>
      </w:pPr>
      <w:r>
        <w:rPr>
          <w:rFonts w:ascii="Georgia" w:hAnsi="Georgia"/>
          <w:b w:val="0"/>
          <w:sz w:val="22"/>
          <w:u w:val="none"/>
          <w:lang w:val="en-GB"/>
        </w:rPr>
        <w:t xml:space="preserve">Dear Ms Nair</w:t>
      </w:r>
    </w:p>
    <w:p>
      <w:pPr>
        <w:spacing w:after="200" w:before="0"/>
      </w:pPr>
      <w:r>
        <w:rPr>
          <w:rFonts w:ascii="Georgia" w:hAnsi="Georgia"/>
          <w:b/>
          <w:sz w:val="22"/>
          <w:u w:val="none"/>
          <w:lang w:val="en-GB"/>
        </w:rPr>
        <w:t xml:space="preserve">Claim for unfair dismissal and discrimination against Calderdale Logistics Limited - Case No 1803442/2025</w:t>
      </w:r>
    </w:p>
    <w:p>
      <w:pPr>
        <w:spacing w:after="160" w:before="0"/>
      </w:pPr>
      <w:r>
        <w:rPr>
          <w:rFonts w:ascii="Georgia" w:hAnsi="Georgia"/>
          <w:b w:val="0"/>
          <w:sz w:val="22"/>
          <w:u w:val="none"/>
          <w:lang w:val="en-GB"/>
        </w:rPr>
        <w:t xml:space="preserve">I am delighted to tell you that the Employment Tribunal has ruled in your favour on every complaint. In its reserved judgment of 19 March 2026, the Leeds tribunal, before Employment Judge Hartley, upheld all four of your complaints against Calderdale Logistics Limited: unfair dismissal and automatic unfair dismissal connected to your maternity leave (sections 98 and 99, Employment Rights Act 1996), and direct sex discrimination and pregnancy and maternity discrimination (sections 13 and 18, Equality Act 2010).</w:t>
      </w:r>
    </w:p>
    <w:p>
      <w:pPr>
        <w:spacing w:after="160" w:before="0"/>
      </w:pPr>
      <w:r>
        <w:rPr>
          <w:rFonts w:ascii="Georgia" w:hAnsi="Georgia"/>
          <w:b w:val="0"/>
          <w:sz w:val="22"/>
          <w:u w:val="none"/>
          <w:lang w:val="en-GB"/>
        </w:rPr>
        <w:t xml:space="preserve">The tribunal found no genuine redundancy situation existed: the claimed 22% fall in haulage volumes was not borne out by the figures, which were broadly flat, with two new clients taken on in early 2025. Mr Thornton, recruited to cover your maternity leave, was kept on in a role materially identical to yours; the distinction between his ‘Transport Planning’ job and your ‘Operations Manager’ role was a label without substance. The consultation was a sham, the decision to dismiss you having been taken before it began. On discrimination, the burden of proof had shifted to Calderdale, which failed to show that your treatment was in no sense whatsoever because of your sex or maternity.</w:t>
      </w:r>
    </w:p>
    <w:p>
      <w:pPr>
        <w:spacing w:after="160" w:before="0"/>
      </w:pPr>
      <w:r>
        <w:rPr>
          <w:rFonts w:ascii="Georgia" w:hAnsi="Georgia"/>
          <w:b w:val="0"/>
          <w:sz w:val="22"/>
          <w:u w:val="none"/>
          <w:lang w:val="en-GB"/>
        </w:rPr>
        <w:t xml:space="preserve">Liability, who was in the wrong, is dealt with separately from remedy, what you receive. The tribunal’s provisional view, stated in the judgment, is an award for injury to feelings in the middle band of the standard guidelines (the Vento bands), with a basic award and a compensatory award reflecting your lost earnings, subject to your duty to keep your losses down. It listed a remedy hearing for 11 May 2026, unless the figures were agreed beforehand. We do not yet have confirmed information about what happened at or after that hearing; we are chasing this with the Tribunal and the other side, and will write again the moment it is confirmed.</w:t>
      </w:r>
    </w:p>
    <w:p>
      <w:pPr>
        <w:spacing w:after="160" w:before="0"/>
      </w:pPr>
      <w:r>
        <w:rPr>
          <w:rFonts w:ascii="Georgia" w:hAnsi="Georgia"/>
          <w:b w:val="0"/>
          <w:sz w:val="22"/>
          <w:u w:val="none"/>
          <w:lang w:val="en-GB"/>
        </w:rPr>
        <w:t xml:space="preserve">On 12 January 2026, before the final hearing, we wrote to Calderdale’s solicitors, Bowater Sykes, on a ‘without prejudice save as to costs’ basis, offering to settle the whole claim for £52,000 inclusive through an Acas COT3 agreement, open for 21 days. The offer was not accepted, and the case proceeded to the four-day final hearing in February 2026. Now that the tribunal has ruled decisively in your favour, your position is considerably stronger than that figure reflected: your schedule of loss put the total claim at £71,640, covering the basic award, loss of earnings, injury to feelings, pension loss, lost statutory rights, less Jobseeker’s Allowance received, interest, and a possible Acas uplift. The remedy award will be assessed independently of that earlier offer.</w:t>
      </w:r>
    </w:p>
    <w:p>
      <w:pPr>
        <w:spacing w:after="160" w:before="0"/>
      </w:pPr>
      <w:r>
        <w:rPr>
          <w:rFonts w:ascii="Georgia" w:hAnsi="Georgia"/>
          <w:b w:val="0"/>
          <w:sz w:val="22"/>
          <w:u w:val="none"/>
          <w:lang w:val="en-GB"/>
        </w:rPr>
        <w:t xml:space="preserve">Please do not treat the £52,000 as any indication of what you will recover; we are pursuing confirmation of the remedy position and will report back as soon as we have it. This result is a just one after a long and stressful process. If you have any questions, please call me on the direct dial below.</w:t>
      </w:r>
    </w:p>
    <w:p>
      <w:pPr>
        <w:spacing w:after="600" w:before="160"/>
      </w:pPr>
      <w:r>
        <w:rPr>
          <w:rFonts w:ascii="Georgia" w:hAnsi="Georgia"/>
          <w:b w:val="0"/>
          <w:sz w:val="22"/>
          <w:u w:val="none"/>
          <w:lang w:val="en-GB"/>
        </w:rPr>
        <w:t xml:space="preserve">Yours sincerely</w:t>
      </w:r>
    </w:p>
    <w:p>
      <w:pPr>
        <w:spacing w:after="0" w:before="0"/>
      </w:pPr>
      <w:r>
        <w:rPr>
          <w:rFonts w:ascii="Georgia" w:hAnsi="Georgia"/>
          <w:b/>
          <w:sz w:val="22"/>
          <w:u w:val="none"/>
          <w:lang w:val="en-GB"/>
        </w:rPr>
        <w:t xml:space="preserve">Adam Frith</w:t>
      </w:r>
    </w:p>
    <w:p>
      <w:pPr>
        <w:spacing w:after="0" w:before="0"/>
      </w:pPr>
      <w:r>
        <w:rPr>
          <w:rFonts w:ascii="Georgia" w:hAnsi="Georgia"/>
          <w:b w:val="0"/>
          <w:sz w:val="20"/>
          <w:u w:val="none"/>
          <w:lang w:val="en-GB"/>
        </w:rPr>
        <w:t xml:space="preserve">Partner, Employment</w:t>
      </w:r>
    </w:p>
    <w:p>
      <w:pPr>
        <w:spacing w:after="0" w:before="0"/>
      </w:pPr>
      <w:r>
        <w:rPr>
          <w:rFonts w:ascii="Georgia" w:hAnsi="Georgia"/>
          <w:b w:val="0"/>
          <w:sz w:val="20"/>
          <w:u w:val="none"/>
          <w:lang w:val="en-GB"/>
        </w:rPr>
        <w:t xml:space="preserve">Aldridge Vine LLP</w:t>
      </w:r>
    </w:p>
    <w:p>
      <w:pPr>
        <w:spacing w:after="0" w:before="0"/>
      </w:pPr>
      <w:r>
        <w:rPr>
          <w:rFonts w:ascii="Georgia" w:hAnsi="Georgia"/>
          <w:b w:val="0"/>
          <w:sz w:val="18"/>
          <w:color w:val="666666"/>
          <w:u w:val="none"/>
          <w:lang w:val="en-GB"/>
        </w:rPr>
        <w:t xml:space="preserve">Direct dial 0113 246 8814   |   adam.frith@aldridgevine.example</w:t>
      </w:r>
    </w:p>
    <w:sectPr w:rsidR="00FC693F" w:rsidRPr="0006063C" w:rsidSect="00034616">
      <w:headerReference w:type="default" r:id="rId9"/>
      <w:footerReference w:type="default" r:id="rId10"/>
      <w:pgSz w:w="12240" w:h="15840"/>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Georgia" w:hAnsi="Georgia"/>
        <w:color w:val="666666"/>
        <w:sz w:val="14"/>
      </w:rPr>
      <w:t>Aldridge Vine LLP is a limited liability partnership registered in England and Wales, authorised and regulated by the Solicitors Regulation Authority (SRA No. 000000). Minerva House, 29 East Parade, Leeds LS1 5PS.</w:t>
    </w:r>
  </w:p>
  <w:p>
    <w:pPr>
      <w:spacing w:after="0"/>
      <w:jc w:val="center"/>
    </w:pPr>
    <w:r>
      <w:rPr>
        <w:rFonts w:ascii="Georgia" w:hAnsi="Georgia"/>
        <w:color w:val="666666"/>
        <w:sz w:val="14"/>
      </w:rPr>
      <w:t xml:space="preserve">Page </w:t>
    </w:r>
    <w:r>
      <w:rPr>
        <w:rFonts w:ascii="Georgia" w:hAnsi="Georgia"/>
        <w:color w:val="666666"/>
        <w:sz w:val="14"/>
      </w:rPr>
      <w:fldChar w:fldCharType="begin"/>
      <w:instrText xml:space="preserve"> PAGE </w:instrText>
      <w:fldChar w:fldCharType="separate"/>
      <w:t>1</w:t>
      <w:fldChar w:fldCharType="end"/>
    </w:r>
    <w:r>
      <w:rPr>
        <w:rFonts w:ascii="Georgia" w:hAnsi="Georgia"/>
        <w:color w:val="666666"/>
        <w:sz w:val="14"/>
      </w:rPr>
      <w:t xml:space="preserve"> of </w:t>
    </w:r>
    <w:r>
      <w:rPr>
        <w:rFonts w:ascii="Georgia" w:hAnsi="Georgia"/>
        <w:color w:val="666666"/>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2232000" cy="233120"/>
          <wp:docPr id="1" name="Picture 1"/>
          <wp:cNvGraphicFramePr>
            <a:graphicFrameLocks noChangeAspect="1"/>
          </wp:cNvGraphicFramePr>
          <a:graphic>
            <a:graphicData uri="http://schemas.openxmlformats.org/drawingml/2006/picture">
              <pic:pic>
                <pic:nvPicPr>
                  <pic:cNvPr id="0" name="aldridge_vine_wordmark.png"/>
                  <pic:cNvPicPr/>
                </pic:nvPicPr>
                <pic:blipFill>
                  <a:blip r:embed="rId1"/>
                  <a:stretch>
                    <a:fillRect/>
                  </a:stretch>
                </pic:blipFill>
                <pic:spPr>
                  <a:xfrm>
                    <a:off x="0" y="0"/>
                    <a:ext cx="2232000" cy="233120"/>
                  </a:xfrm>
                  <a:prstGeom prst="rect"/>
                </pic:spPr>
              </pic:pic>
            </a:graphicData>
          </a:graphic>
        </wp:inline>
      </w:drawing>
    </w:r>
  </w:p>
  <w:p>
    <w:pPr>
      <w:spacing w:after="0"/>
      <w:pBdr>
        <w:bottom w:val="single" w:sz="8" w:space="4" w:color="1A1A5E"/>
      </w:pBdr>
    </w:pPr>
    <w:r>
      <w:rPr>
        <w:rFonts w:ascii="Georgia" w:hAnsi="Georgia"/>
        <w:color w:val="666666"/>
        <w:sz w:val="15"/>
      </w:rPr>
      <w:t>Minerva House, 29 East Parade, Leeds LS1 5PS   |   T 0113 246 8800   |   DX 26411 Leeds Park Square   |   www.aldridgevine.example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microsoft.com/office/2011/relationships/webextensiontaskpanes" Target="webextensions/taskpan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493BDB-C81C-40A4-ADC6-B2CE6D5E43F5}">
  <we:reference id="WA200011361" version="1.0.0.0" store="en-US" storeType="OMEX"/>
  <we:alternateReferences/>
  <we:properties>
    <we:property name="Office.AutoShowTaskpaneWithDocument" value="true"/>
    <we:property name="andriCaseId" value="&quot;f82886aa-0913-4232-991b-7851c970ef1b&quot;"/>
    <we:property name="andriJobId" value="&quot;edaaa6ac-1fbe-421a-ba6e-0698fdf8fe66&quot;"/>
  </we:properties>
  <we:binding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update letter to Ms Priya Nair, 22 September 2026</dc:title>
  <dc:subject>Nair v Calderdale Logistics Limited, Case No 1803442/2025: liability judgment and settlement offer</dc:subject>
  <dc:creator>Aldridge Vine LLP</dc:creator>
  <cp:keywords/>
  <dc:description/>
  <dc:language>en-GB</dc:language>
  <cp:lastModifiedBy>Adam Frith</cp:lastModifiedBy>
  <cp:revision>2</cp:revision>
  <dcterms:created xsi:type="dcterms:W3CDTF">2026-09-22T09:00:00Z</dcterms:created>
  <dcterms:modified xsi:type="dcterms:W3CDTF">2026-09-22T09:00:00Z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driCaseId">
    <vt:lpwstr>f82886aa-0913-4232-991b-7851c970ef1b</vt:lpwstr>
  </property>
  <property fmtid="{D5CDD505-2E9C-101B-9397-08002B2CF9AE}" pid="3" name="andriJobId">
    <vt:lpwstr>edaaa6ac-1fbe-421a-ba6e-0698fdf8fe66</vt:lpwstr>
  </property>
</Properties>
</file>