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sz w:val="18"/>
        </w:rPr>
        <w:t>IN THE EMPLOYMENT TRIBUNAL - LEEDS EMPLOYMENT TRIBUNAL</w:t>
      </w:r>
    </w:p>
    <w:p>
      <w:pPr>
        <w:jc w:val="right"/>
      </w:pPr>
      <w:r>
        <w:rPr>
          <w:b/>
          <w:sz w:val="18"/>
        </w:rPr>
        <w:t>Claim No: 1803442/2025</w:t>
      </w:r>
    </w:p>
    <w:p>
      <w:pPr>
        <w:jc w:val="right"/>
      </w:pPr>
      <w:r>
        <w:rPr>
          <w:sz w:val="18"/>
        </w:rPr>
        <w:t>MS PRIYA NAIR (Claimant)</w:t>
      </w:r>
    </w:p>
    <w:p>
      <w:pPr>
        <w:jc w:val="right"/>
      </w:pPr>
      <w:r>
        <w:rPr>
          <w:sz w:val="18"/>
        </w:rPr>
        <w:t>CALDERDALE LOGISTICS LIMITED (Respondent)</w:t>
      </w:r>
    </w:p>
    <w:p>
      <w:pPr>
        <w:jc w:val="center"/>
        <w:pBdr>
          <w:bottom w:val="single" w:sz="12" w:space="1" w:color="5B2A86"/>
        </w:pBdr>
      </w:pPr>
      <w:r>
        <w:rPr>
          <w:b/>
          <w:color w:val="5B2A86"/>
          <w:sz w:val="26"/>
        </w:rPr>
        <w:t>SKELETON ARGUMENT ON BEHALF OF THE CLAIMANT</w:t>
      </w:r>
    </w:p>
    <w:p>
      <w:pPr>
        <w:spacing w:after="40"/>
      </w:pPr>
      <w:r>
        <w:rPr>
          <w:b/>
          <w:sz w:val="20"/>
        </w:rPr>
        <w:t xml:space="preserve">Hearing date: </w:t>
      </w:r>
      <w:r>
        <w:rPr>
          <w:sz w:val="20"/>
        </w:rPr>
        <w:t>9 to 12 February 2026</w:t>
      </w:r>
    </w:p>
    <w:p>
      <w:pPr>
        <w:spacing w:after="40"/>
      </w:pPr>
      <w:r>
        <w:rPr>
          <w:b/>
          <w:sz w:val="20"/>
        </w:rPr>
        <w:t xml:space="preserve">Time estimate: </w:t>
      </w:r>
      <w:r>
        <w:rPr>
          <w:sz w:val="20"/>
        </w:rPr>
        <w:t>4 days</w:t>
      </w:r>
    </w:p>
    <w:p>
      <w:pPr>
        <w:spacing w:after="40"/>
      </w:pPr>
      <w:r>
        <w:rPr>
          <w:b/>
          <w:sz w:val="20"/>
        </w:rPr>
        <w:t xml:space="preserve">On behalf of: </w:t>
      </w:r>
      <w:r>
        <w:rPr>
          <w:sz w:val="20"/>
        </w:rPr>
        <w:t>Claimant</w:t>
      </w:r>
    </w:p>
    <w:p>
      <w:pPr>
        <w:spacing w:after="40"/>
      </w:pPr>
      <w:r>
        <w:rPr>
          <w:b/>
          <w:sz w:val="20"/>
        </w:rPr>
        <w:t xml:space="preserve">Counsel: </w:t>
      </w:r>
      <w:r>
        <w:rPr>
          <w:sz w:val="20"/>
        </w:rPr>
        <w:t>Hester Ramsbottom and Adam Frith</w:t>
      </w:r>
    </w:p>
    <w:p/>
    <w:p>
      <w:r>
        <w:rPr>
          <w:b/>
          <w:color w:val="5B2A86"/>
          <w:sz w:val="24"/>
        </w:rPr>
        <w:t>1. Introduction</w:t>
      </w:r>
    </w:p>
    <w:p>
      <w:pPr>
        <w:spacing w:after="120"/>
      </w:pPr>
      <w:r>
        <w:rPr>
          <w:sz w:val="22"/>
        </w:rPr>
        <w:t>This is the Claimant's skeleton for the final hearing of her complaints of unfair dismissal and discrimination against the Respondent.</w:t>
      </w:r>
    </w:p>
    <w:p>
      <w:pPr>
        <w:spacing w:after="120"/>
      </w:pPr>
      <w:r>
        <w:rPr>
          <w:sz w:val="22"/>
        </w:rPr>
        <w:t>The central question is whether the Respondent's reliance on redundancy was genuine, or a pretext for removing the Claimant following her maternity leave.</w:t>
      </w:r>
    </w:p>
    <w:p>
      <w:r>
        <w:rPr>
          <w:b/>
          <w:color w:val="5B2A86"/>
          <w:sz w:val="24"/>
        </w:rPr>
        <w:t>2. The Issues</w:t>
      </w:r>
    </w:p>
    <w:p>
      <w:pPr>
        <w:spacing w:after="120"/>
      </w:pPr>
      <w:r>
        <w:rPr>
          <w:sz w:val="22"/>
        </w:rPr>
        <w:t>(1) Was there a genuine redundancy situation? (2) Was the dismissal fair under section 98 ERA 1996? (3) Was it automatically unfair under section 99? (4) Was it direct sex discrimination (s.13 EqA) or pregnancy/maternity discrimination (s.18 EqA)?</w:t>
      </w:r>
    </w:p>
    <w:p>
      <w:r>
        <w:rPr>
          <w:b/>
          <w:color w:val="5B2A86"/>
          <w:sz w:val="24"/>
        </w:rPr>
        <w:t>3. The Law</w:t>
      </w:r>
    </w:p>
    <w:p>
      <w:pPr>
        <w:spacing w:after="120"/>
      </w:pPr>
      <w:r>
        <w:rPr>
          <w:sz w:val="22"/>
        </w:rPr>
        <w:t>On unfair dismissal, the Respondent must show a potentially fair reason and that dismissal was within the band of reasonable responses: Iceland Frozen Foods v Jones.</w:t>
      </w:r>
    </w:p>
    <w:p>
      <w:pPr>
        <w:spacing w:after="120"/>
      </w:pPr>
      <w:r>
        <w:rPr>
          <w:sz w:val="22"/>
        </w:rPr>
        <w:t>On discrimination, once the Claimant proves facts from which the Tribunal could conclude discrimination, the burden shifts to the Respondent to show the treatment was in no sense whatsoever because of the protected characteristic: section 136 EqA 2010; Igen v Wong.</w:t>
      </w:r>
    </w:p>
    <w:p>
      <w:r>
        <w:rPr>
          <w:b/>
          <w:color w:val="5B2A86"/>
          <w:sz w:val="24"/>
        </w:rPr>
        <w:t>4. Submissions</w:t>
      </w:r>
    </w:p>
    <w:p>
      <w:pPr>
        <w:spacing w:after="120"/>
      </w:pPr>
      <w:r>
        <w:rPr>
          <w:sz w:val="22"/>
        </w:rPr>
        <w:t>There was no genuine redundancy. Volumes were flat and two clients were onboarded in early 2025. The 'restructuring' is unsupported by any contemporaneous document.</w:t>
      </w:r>
    </w:p>
    <w:p>
      <w:pPr>
        <w:spacing w:after="120"/>
      </w:pPr>
      <w:r>
        <w:rPr>
          <w:sz w:val="22"/>
        </w:rPr>
        <w:t>Mr Thornton, recruited to cover maternity leave, was retained in the Claimant's role. The labels 'Operations Manager' and 'Transport Planning' are a distinction without a difference. That fact shifts the burden of proof.</w:t>
      </w:r>
    </w:p>
    <w:p>
      <w:pPr>
        <w:spacing w:after="120"/>
      </w:pPr>
      <w:r>
        <w:rPr>
          <w:sz w:val="22"/>
        </w:rPr>
        <w:t>The consultation was a sham; the decision was predetermined. The dismissal is unfair, automatically unfair and discriminatory.</w:t>
      </w:r>
    </w:p>
    <w:p>
      <w:r>
        <w:rPr>
          <w:b/>
          <w:color w:val="5B2A86"/>
          <w:sz w:val="24"/>
        </w:rPr>
        <w:t>5. Conclusion</w:t>
      </w:r>
    </w:p>
    <w:p>
      <w:pPr>
        <w:spacing w:after="120"/>
      </w:pPr>
      <w:r>
        <w:rPr>
          <w:sz w:val="22"/>
        </w:rPr>
        <w:t>The Tribunal is invited to uphold all complaints and to proceed to remedy, including a basic award, a compensatory award and injury to feelings in the middle Vento band.</w:t>
      </w:r>
    </w:p>
    <w:p/>
    <w:p>
      <w:r>
        <w:rPr>
          <w:b/>
          <w:sz w:val="22"/>
        </w:rPr>
        <w:t>Hester Ramsbottom and Adam Frith</w:t>
      </w:r>
    </w:p>
    <w:p>
      <w:r>
        <w:rPr>
          <w:sz w:val="20"/>
        </w:rPr>
        <w:t>Park Lane Chambers, Leeds</w:t>
      </w:r>
    </w:p>
    <w:p>
      <w:r>
        <w:rPr>
          <w:sz w:val="20"/>
        </w:rPr>
        <w:t>30 January 2026</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