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00"/>
      </w:pPr>
      <w:r>
        <w:rPr>
          <w:rFonts w:ascii="Georgia" w:hAnsi="Georgia"/>
          <w:b/>
          <w:color w:val="B40000"/>
          <w:sz w:val="18"/>
          <w:u w:val="none"/>
        </w:rPr>
        <w:t>PRIVILEGED AND CONFIDENTIAL</w:t>
      </w:r>
    </w:p>
    <w:p>
      <w:pPr>
        <w:spacing w:after="200" w:before="0"/>
      </w:pPr>
      <w:r>
        <w:rPr>
          <w:rFonts w:ascii="Georgia" w:hAnsi="Georgia"/>
          <w:b/>
          <w:color w:val="1A1A5E"/>
          <w:sz w:val="30"/>
          <w:u w:val="none"/>
        </w:rPr>
        <w:t>INTERNAL MEMORANDUM</w:t>
      </w:r>
    </w:p>
    <w:tbl>
      <w:tblPr>
        <w:tblW w:type="auto" w:w="0"/>
        <w:jc w:val="left"/>
        <w:tblLayout w:type="fixed"/>
        <w:tblLook w:firstColumn="1" w:firstRow="1" w:lastColumn="0" w:lastRow="0" w:noHBand="0" w:noVBand="1" w:val="04A0"/>
      </w:tblPr>
      <w:tblGrid>
        <w:gridCol w:w="1361"/>
        <w:gridCol w:w="7710"/>
      </w:tblGrid>
      <w:tr>
        <w:tc>
          <w:tcPr>
            <w:tcW w:type="dxa" w:w="1361"/>
          </w:tcPr>
          <w:p>
            <w:pPr>
              <w:spacing w:after="40"/>
            </w:pPr>
            <w:r>
              <w:rPr>
                <w:rFonts w:ascii="Georgia" w:hAnsi="Georgia"/>
                <w:b/>
                <w:sz w:val="20"/>
              </w:rPr>
              <w:t>To:</w:t>
            </w:r>
          </w:p>
        </w:tc>
        <w:tc>
          <w:tcPr>
            <w:tcW w:type="dxa" w:w="7710"/>
          </w:tcPr>
          <w:p>
            <w:pPr>
              <w:spacing w:after="40"/>
            </w:pPr>
            <w:r>
              <w:rPr>
                <w:rFonts w:ascii="Georgia" w:hAnsi="Georgia"/>
                <w:b w:val="0"/>
                <w:sz w:val="20"/>
              </w:rPr>
              <w:t>Adam Frith, Partner, Employment</w:t>
            </w:r>
          </w:p>
        </w:tc>
      </w:tr>
      <w:tr>
        <w:tc>
          <w:tcPr>
            <w:tcW w:type="dxa" w:w="1361"/>
          </w:tcPr>
          <w:p>
            <w:pPr>
              <w:spacing w:after="40"/>
            </w:pPr>
            <w:r>
              <w:rPr>
                <w:rFonts w:ascii="Georgia" w:hAnsi="Georgia"/>
                <w:b/>
                <w:sz w:val="20"/>
              </w:rPr>
              <w:t>From:</w:t>
            </w:r>
          </w:p>
        </w:tc>
        <w:tc>
          <w:tcPr>
            <w:tcW w:type="dxa" w:w="7710"/>
          </w:tcPr>
          <w:p>
            <w:pPr>
              <w:spacing w:after="40"/>
            </w:pPr>
            <w:r>
              <w:rPr>
                <w:rFonts w:ascii="Georgia" w:hAnsi="Georgia"/>
                <w:b w:val="0"/>
                <w:sz w:val="20"/>
              </w:rPr>
              <w:t>Rosalind Keane, Trainee Solicitor</w:t>
            </w:r>
          </w:p>
        </w:tc>
      </w:tr>
      <w:tr>
        <w:tc>
          <w:tcPr>
            <w:tcW w:type="dxa" w:w="1361"/>
          </w:tcPr>
          <w:p>
            <w:pPr>
              <w:spacing w:after="40"/>
            </w:pPr>
            <w:r>
              <w:rPr>
                <w:rFonts w:ascii="Georgia" w:hAnsi="Georgia"/>
                <w:b/>
                <w:sz w:val="20"/>
              </w:rPr>
              <w:t>Date:</w:t>
            </w:r>
          </w:p>
        </w:tc>
        <w:tc>
          <w:tcPr>
            <w:tcW w:type="dxa" w:w="7710"/>
          </w:tcPr>
          <w:p>
            <w:pPr>
              <w:spacing w:after="40"/>
            </w:pPr>
            <w:r>
              <w:rPr>
                <w:rFonts w:ascii="Georgia" w:hAnsi="Georgia"/>
                <w:b w:val="0"/>
                <w:sz w:val="20"/>
              </w:rPr>
              <w:t>16 April 2025</w:t>
            </w:r>
          </w:p>
        </w:tc>
      </w:tr>
      <w:tr>
        <w:tc>
          <w:tcPr>
            <w:tcW w:type="dxa" w:w="1361"/>
          </w:tcPr>
          <w:p>
            <w:pPr>
              <w:spacing w:after="40"/>
            </w:pPr>
            <w:r>
              <w:rPr>
                <w:rFonts w:ascii="Georgia" w:hAnsi="Georgia"/>
                <w:b/>
                <w:sz w:val="20"/>
              </w:rPr>
              <w:t>Matter:</w:t>
            </w:r>
          </w:p>
        </w:tc>
        <w:tc>
          <w:tcPr>
            <w:tcW w:type="dxa" w:w="7710"/>
          </w:tcPr>
          <w:p>
            <w:pPr>
              <w:spacing w:after="40"/>
            </w:pPr>
            <w:r>
              <w:rPr>
                <w:rFonts w:ascii="Georgia" w:hAnsi="Georgia"/>
                <w:b w:val="0"/>
                <w:sz w:val="20"/>
              </w:rPr>
              <w:t>Nair v Calderdale Logistics Limited (our ref AV/HR/NAIR/0318)</w:t>
            </w:r>
          </w:p>
        </w:tc>
      </w:tr>
      <w:tr>
        <w:tc>
          <w:tcPr>
            <w:tcW w:type="dxa" w:w="1361"/>
          </w:tcPr>
          <w:p>
            <w:pPr>
              <w:spacing w:after="40"/>
            </w:pPr>
            <w:r>
              <w:rPr>
                <w:rFonts w:ascii="Georgia" w:hAnsi="Georgia"/>
                <w:b/>
                <w:sz w:val="20"/>
              </w:rPr>
              <w:t>Re:</w:t>
            </w:r>
          </w:p>
        </w:tc>
        <w:tc>
          <w:tcPr>
            <w:tcW w:type="dxa" w:w="7710"/>
          </w:tcPr>
          <w:p>
            <w:pPr>
              <w:spacing w:after="40"/>
            </w:pPr>
            <w:r>
              <w:rPr>
                <w:rFonts w:ascii="Georgia" w:hAnsi="Georgia"/>
                <w:b w:val="0"/>
                <w:sz w:val="20"/>
              </w:rPr>
              <w:t>Preliminary assessment of the claimant's dismissal claims</w:t>
            </w:r>
          </w:p>
        </w:tc>
      </w:tr>
    </w:tbl>
    <w:p>
      <w:pPr>
        <w:pBdr>
          <w:bottom w:val="single" w:sz="8" w:space="4" w:color="1A1A5E"/>
        </w:pBdr>
      </w:pPr>
    </w:p>
    <w:p>
      <w:pPr>
        <w:spacing w:after="80" w:before="240"/>
      </w:pPr>
      <w:r>
        <w:rPr>
          <w:rFonts w:ascii="Georgia" w:hAnsi="Georgia"/>
          <w:b/>
          <w:color w:val="1A1A5E"/>
          <w:sz w:val="23"/>
          <w:u w:val="none"/>
        </w:rPr>
        <w:t>Background</w:t>
      </w:r>
    </w:p>
    <w:p>
      <w:pPr>
        <w:spacing w:after="160" w:before="0"/>
      </w:pPr>
      <w:r>
        <w:rPr>
          <w:rFonts w:ascii="Georgia" w:hAnsi="Georgia"/>
          <w:b w:val="0"/>
          <w:sz w:val="22"/>
          <w:u w:val="none"/>
        </w:rPr>
        <w:t>Our client, Ms Priya Nair, was employed by Calderdale Logistics Limited as Operations Manager and has seven years of continuous service. She began maternity leave on 1 May 2024 and returned on 13 January 2025. On her return she found that the colleague who had covered her role during her absence had been kept in post and that the substantive duties of the Operations Manager role had been reallocated.</w:t>
      </w:r>
    </w:p>
    <w:p>
      <w:pPr>
        <w:spacing w:after="160" w:before="0"/>
      </w:pPr>
      <w:r>
        <w:rPr>
          <w:rFonts w:ascii="Georgia" w:hAnsi="Georgia"/>
          <w:b w:val="0"/>
          <w:sz w:val="22"/>
          <w:u w:val="none"/>
        </w:rPr>
        <w:t>The employer ran a consultation process in February and March 2025 and confirmed the termination of her employment by reason of redundancy by letter dated 14 March 2025. The effective date of termination is 31 March 2025. Ms Nair gave initial instructions at our offices on 10 April 2025.</w:t>
      </w:r>
    </w:p>
    <w:p>
      <w:pPr>
        <w:spacing w:after="80" w:before="240"/>
      </w:pPr>
      <w:r>
        <w:rPr>
          <w:rFonts w:ascii="Georgia" w:hAnsi="Georgia"/>
          <w:b/>
          <w:color w:val="1A1A5E"/>
          <w:sz w:val="23"/>
          <w:u w:val="none"/>
        </w:rPr>
        <w:t>Issues</w:t>
      </w:r>
    </w:p>
    <w:p>
      <w:pPr>
        <w:spacing w:after="160" w:before="0"/>
      </w:pPr>
      <w:r>
        <w:rPr>
          <w:rFonts w:ascii="Georgia" w:hAnsi="Georgia"/>
          <w:b w:val="0"/>
          <w:sz w:val="22"/>
          <w:u w:val="none"/>
        </w:rPr>
        <w:t>First, whether there was a genuine redundancy situation, or whether the redundancy label was applied to a role that continued in substance in the hands of the maternity cover. Second, whether the selection pool, the selection criteria and the consultation were adequate, so that the dismissal was fair in all the circumstances. Third, whether the dismissal or the treatment on her return is connected to her maternity leave. Fourth, the tribunal time limit and the Acas early conciliation step that protects it.</w:t>
      </w:r>
    </w:p>
    <w:p>
      <w:pPr>
        <w:spacing w:after="80" w:before="240"/>
      </w:pPr>
      <w:r>
        <w:rPr>
          <w:rFonts w:ascii="Georgia" w:hAnsi="Georgia"/>
          <w:b/>
          <w:color w:val="1A1A5E"/>
          <w:sz w:val="23"/>
          <w:u w:val="none"/>
        </w:rPr>
        <w:t>Analysis</w:t>
      </w:r>
    </w:p>
    <w:p>
      <w:pPr>
        <w:spacing w:after="160" w:before="0"/>
      </w:pPr>
      <w:r>
        <w:rPr>
          <w:rFonts w:ascii="Georgia" w:hAnsi="Georgia"/>
          <w:b w:val="0"/>
          <w:sz w:val="22"/>
          <w:u w:val="none"/>
        </w:rPr>
        <w:t>Ordinary unfair dismissal is available because Ms Nair has well over two years of service. The employer will have to show a potentially fair reason and that it acted reasonably in treating that reason as sufficient. The retention of the maternity cover in the same function is the central factual point and will need to be tested against the employer's organisation charts, the selection matrix and the consultation records.</w:t>
      </w:r>
    </w:p>
    <w:p>
      <w:pPr>
        <w:spacing w:after="160" w:before="0"/>
      </w:pPr>
      <w:r>
        <w:rPr>
          <w:rFonts w:ascii="Georgia" w:hAnsi="Georgia"/>
          <w:b w:val="0"/>
          <w:sz w:val="22"/>
          <w:u w:val="none"/>
        </w:rPr>
        <w:t>The maternity context also opens claims that do not depend on length of service, including automatic unfair dismissal where the reason or principal reason is connected with maternity leave, and a failure to offer a suitable available vacancy where a redundancy arises during maternity leave. Discrimination and detriment claims arising from the same facts should be assessed on the same documents rather than separately.</w:t>
      </w:r>
    </w:p>
    <w:p>
      <w:pPr>
        <w:spacing w:after="160" w:before="0"/>
      </w:pPr>
      <w:r>
        <w:rPr>
          <w:rFonts w:ascii="Georgia" w:hAnsi="Georgia"/>
          <w:b w:val="0"/>
          <w:sz w:val="22"/>
          <w:u w:val="none"/>
        </w:rPr>
        <w:t>On limitation, the primary three month period runs from 31 March 2025. Acas early conciliation must be commenced before that period expires and the certificate then extends the period in the usual way. The file records that the limitation date has been diarised.</w:t>
      </w:r>
    </w:p>
    <w:p>
      <w:pPr>
        <w:spacing w:after="80" w:before="240"/>
      </w:pPr>
      <w:r>
        <w:rPr>
          <w:rFonts w:ascii="Georgia" w:hAnsi="Georgia"/>
          <w:b/>
          <w:color w:val="1A1A5E"/>
          <w:sz w:val="23"/>
          <w:u w:val="none"/>
        </w:rPr>
        <w:t>Recommendation</w:t>
      </w:r>
    </w:p>
    <w:p>
      <w:pPr>
        <w:spacing w:after="160" w:before="0"/>
      </w:pPr>
      <w:r>
        <w:rPr>
          <w:rFonts w:ascii="Georgia" w:hAnsi="Georgia"/>
          <w:b w:val="0"/>
          <w:sz w:val="22"/>
          <w:u w:val="none"/>
        </w:rPr>
        <w:t>Commence Acas early conciliation immediately and confirm the certificate number on the file once it is issued. Request the employment contract, payslips, appraisals and the complete redundancy correspondence from the client, and prepare a chronology and a preliminary schedule of loss once they arrive. Advise the client on funding and on prospects only after the documents have been reviewed, and report to the partner before any correspondence is sent to the employer or its solicitors.</w:t>
      </w:r>
    </w:p>
    <w:sectPr w:rsidR="00FC693F" w:rsidRPr="0006063C" w:rsidSect="00034616">
      <w:headerReference w:type="default" r:id="rId9"/>
      <w:footerReference w:type="default" r:id="rId10"/>
      <w:pgSz w:w="12240" w:h="15840"/>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jc w:val="center"/>
    </w:pPr>
    <w:r>
      <w:rPr>
        <w:rFonts w:ascii="Georgia" w:hAnsi="Georgia"/>
        <w:color w:val="666666"/>
        <w:sz w:val="14"/>
      </w:rPr>
      <w:t>Aldridge Vine LLP is a limited liability partnership registered in England and Wales, authorised and regulated by the Solicitors Regulation Authority (SRA No. 000000). Minerva House, 29 East Parade, Leeds LS1 5PS.</w:t>
    </w:r>
  </w:p>
  <w:p>
    <w:pPr>
      <w:spacing w:after="0"/>
      <w:jc w:val="center"/>
    </w:pPr>
    <w:r>
      <w:rPr>
        <w:rFonts w:ascii="Georgia" w:hAnsi="Georgia"/>
        <w:color w:val="666666"/>
        <w:sz w:val="14"/>
      </w:rPr>
      <w:t xml:space="preserve">Page </w:t>
    </w:r>
    <w:r>
      <w:rPr>
        <w:rFonts w:ascii="Georgia" w:hAnsi="Georgia"/>
        <w:color w:val="666666"/>
        <w:sz w:val="14"/>
      </w:rPr>
      <w:fldChar w:fldCharType="begin"/>
      <w:instrText xml:space="preserve"> PAGE </w:instrText>
      <w:fldChar w:fldCharType="separate"/>
      <w:t>1</w:t>
      <w:fldChar w:fldCharType="end"/>
    </w:r>
    <w:r>
      <w:rPr>
        <w:rFonts w:ascii="Georgia" w:hAnsi="Georgia"/>
        <w:color w:val="666666"/>
        <w:sz w:val="14"/>
      </w:rPr>
      <w:t xml:space="preserve"> of </w:t>
    </w:r>
    <w:r>
      <w:rPr>
        <w:rFonts w:ascii="Georgia" w:hAnsi="Georgia"/>
        <w:color w:val="666666"/>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drawing>
        <wp:inline xmlns:a="http://schemas.openxmlformats.org/drawingml/2006/main" xmlns:pic="http://schemas.openxmlformats.org/drawingml/2006/picture">
          <wp:extent cx="2232000" cy="233120"/>
          <wp:docPr id="1" name="Picture 1"/>
          <wp:cNvGraphicFramePr>
            <a:graphicFrameLocks noChangeAspect="1"/>
          </wp:cNvGraphicFramePr>
          <a:graphic>
            <a:graphicData uri="http://schemas.openxmlformats.org/drawingml/2006/picture">
              <pic:pic>
                <pic:nvPicPr>
                  <pic:cNvPr id="0" name="aldridge_vine_wordmark.png"/>
                  <pic:cNvPicPr/>
                </pic:nvPicPr>
                <pic:blipFill>
                  <a:blip r:embed="rId1"/>
                  <a:stretch>
                    <a:fillRect/>
                  </a:stretch>
                </pic:blipFill>
                <pic:spPr>
                  <a:xfrm>
                    <a:off x="0" y="0"/>
                    <a:ext cx="2232000" cy="233120"/>
                  </a:xfrm>
                  <a:prstGeom prst="rect"/>
                </pic:spPr>
              </pic:pic>
            </a:graphicData>
          </a:graphic>
        </wp:inline>
      </w:drawing>
    </w:r>
  </w:p>
  <w:p>
    <w:pPr>
      <w:spacing w:after="0"/>
      <w:pBdr>
        <w:bottom w:val="single" w:sz="8" w:space="4" w:color="1A1A5E"/>
      </w:pBdr>
    </w:pPr>
    <w:r>
      <w:rPr>
        <w:rFonts w:ascii="Georgia" w:hAnsi="Georgia"/>
        <w:color w:val="666666"/>
        <w:sz w:val="15"/>
      </w:rPr>
      <w:t>Minerva House, 29 East Parade, Leeds LS1 5PS   |   T 0113 246 8800   |   DX 26411 Leeds Park Square   |   www.aldridgevine.example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 Vine LLP internal memorandum, house style example</dc:title>
  <dc:subject>Fictional house-style example document for Andri knowledge base use</dc:subject>
  <dc:creator>Aldridge Vine LLP</dc:creator>
  <cp:keywords/>
  <dc:description/>
  <cp:lastModifiedBy/>
  <cp:revision>1</cp:revision>
  <dcterms:created xsi:type="dcterms:W3CDTF">2025-04-16T11:00:00Z</dcterms:created>
  <dcterms:modified xsi:type="dcterms:W3CDTF">2025-04-16T11:00:00Z</dcterms:modified>
  <cp:category/>
</cp:coreProperties>
</file>