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before="200"/>
      </w:pPr>
      <w:r>
        <w:rPr>
          <w:rFonts w:ascii="Georgia" w:hAnsi="Georgia"/>
          <w:b/>
          <w:sz w:val="18"/>
          <w:u w:val="none"/>
        </w:rPr>
        <w:t>PERSÖNLICH / VERTRAULICH</w:t>
      </w:r>
    </w:p>
    <w:p>
      <w:pPr>
        <w:spacing w:after="0" w:before="0"/>
      </w:pPr>
      <w:r>
        <w:rPr>
          <w:rFonts w:ascii="Georgia" w:hAnsi="Georgia"/>
          <w:b w:val="0"/>
          <w:sz w:val="22"/>
          <w:u w:val="none"/>
        </w:rPr>
        <w:t>Frau Priya Nair</w:t>
      </w:r>
    </w:p>
    <w:p>
      <w:pPr>
        <w:spacing w:after="0" w:before="0"/>
      </w:pPr>
      <w:r>
        <w:rPr>
          <w:rFonts w:ascii="Georgia" w:hAnsi="Georgia"/>
          <w:b w:val="0"/>
          <w:sz w:val="22"/>
          <w:u w:val="none"/>
        </w:rPr>
        <w:t>Seestrasse 14</w:t>
      </w:r>
    </w:p>
    <w:p>
      <w:pPr>
        <w:spacing w:after="0" w:before="0"/>
      </w:pPr>
      <w:r>
        <w:rPr>
          <w:rFonts w:ascii="Georgia" w:hAnsi="Georgia"/>
          <w:b w:val="0"/>
          <w:sz w:val="22"/>
          <w:u w:val="none"/>
        </w:rPr>
        <w:t>8800 Thalwil</w:t>
      </w:r>
    </w:p>
    <w:p>
      <w:pPr>
        <w:spacing w:after="0" w:before="0"/>
      </w:pPr>
      <w:r>
        <w:rPr>
          <w:rFonts w:ascii="Georgia" w:hAnsi="Georgia"/>
          <w:b w:val="0"/>
          <w:sz w:val="22"/>
          <w:u w:val="none"/>
        </w:rPr>
      </w:r>
    </w:p>
    <w:p>
      <w:pPr>
        <w:spacing w:after="40" w:before="240"/>
      </w:pPr>
      <w:r>
        <w:rPr>
          <w:rFonts w:ascii="Georgia" w:hAnsi="Georgia"/>
          <w:b w:val="0"/>
          <w:sz w:val="22"/>
          <w:u w:val="none"/>
        </w:rPr>
        <w:t>Zürich, 14. April 2025</w:t>
      </w:r>
    </w:p>
    <w:p>
      <w:pPr>
        <w:spacing w:after="40" w:before="0"/>
      </w:pPr>
      <w:r>
        <w:rPr>
          <w:rFonts w:ascii="Georgia" w:hAnsi="Georgia"/>
          <w:b w:val="0"/>
          <w:sz w:val="18"/>
          <w:u w:val="none"/>
        </w:rPr>
        <w:t>Unser Zeichen: AV/HR/NAIR/0318</w:t>
      </w:r>
    </w:p>
    <w:p>
      <w:pPr>
        <w:spacing w:after="240" w:before="0"/>
      </w:pPr>
      <w:r>
        <w:rPr>
          <w:rFonts w:ascii="Georgia" w:hAnsi="Georgia"/>
          <w:b w:val="0"/>
          <w:sz w:val="18"/>
          <w:u w:val="none"/>
        </w:rPr>
        <w:t>Ihr Zeichen: –</w:t>
      </w:r>
    </w:p>
    <w:p>
      <w:pPr>
        <w:spacing w:after="200" w:before="0"/>
      </w:pPr>
      <w:r>
        <w:rPr>
          <w:rFonts w:ascii="Georgia" w:hAnsi="Georgia"/>
          <w:b w:val="0"/>
          <w:sz w:val="22"/>
          <w:u w:val="none"/>
        </w:rPr>
        <w:t>Sehr geehrte Frau Nair</w:t>
      </w:r>
    </w:p>
    <w:p>
      <w:pPr>
        <w:spacing w:after="200" w:before="0"/>
      </w:pPr>
      <w:r>
        <w:rPr>
          <w:rFonts w:ascii="Georgia" w:hAnsi="Georgia"/>
          <w:b/>
          <w:sz w:val="22"/>
          <w:u w:val="none"/>
        </w:rPr>
        <w:t>Kündigung durch die Calderdale Logistik AG – Einsprache und weiteres Vorgehen</w:t>
      </w:r>
    </w:p>
    <w:p>
      <w:pPr>
        <w:spacing w:after="160" w:before="0"/>
      </w:pPr>
      <w:r>
        <w:rPr>
          <w:rFonts w:ascii="Georgia" w:hAnsi="Georgia"/>
          <w:b w:val="0"/>
          <w:sz w:val="22"/>
          <w:u w:val="none"/>
        </w:rPr>
        <w:t>Vielen Dank für die Besprechung in unserem Büro vom 10. April 2025. Mit diesem Schreiben bestätige ich Ihnen meine Beratung und die nächsten Schritte. Die Calderdale Logistik AG hat Ihr Arbeitsverhältnis mit Schreiben vom 14. März 2025 unter Berufung auf eine Reorganisation auf den 31. Mai 2025 gekündigt; Sie sind seit sieben Jahren als Leiterin Operations tätig.</w:t>
      </w:r>
    </w:p>
    <w:p>
      <w:pPr>
        <w:spacing w:after="160" w:before="0"/>
      </w:pPr>
      <w:r>
        <w:rPr>
          <w:rFonts w:ascii="Georgia" w:hAnsi="Georgia"/>
          <w:b w:val="0"/>
          <w:sz w:val="22"/>
          <w:u w:val="none"/>
        </w:rPr>
        <w:t>Nach Ihrer Darstellung bestehen gute Gründe, die Kündigung als diskriminierend (Art. 3 GlG) und missbräuchlich (Art. 336 OR) anzufechten, insbesondere wegen der Ereignisse nach Ihrer Rückkehr aus dem Mutterschaftsurlaub im Januar 2025. Bevor wir Sie zu den Prozessaussichten beraten, müssen wir Ihre Darstellung anhand der Unterlagen prüfen. Bitte senden Sie uns Ihren Arbeitsvertrag, die letzten Lohnabrechnungen, die beiden letzten Mitarbeitergespräche und die gesamte Korrespondenz zur Kündigung.</w:t>
      </w:r>
    </w:p>
    <w:p>
      <w:pPr>
        <w:spacing w:after="160" w:before="0"/>
      </w:pPr>
      <w:r>
        <w:rPr>
          <w:rFonts w:ascii="Georgia" w:hAnsi="Georgia"/>
          <w:b w:val="0"/>
          <w:sz w:val="22"/>
          <w:u w:val="none"/>
        </w:rPr>
        <w:t>Die Fristen sind kurz und werden streng angewendet. Wir haben heute in Ihrem Namen schriftlich Einsprache gegen die Kündigung erhoben (Art. 336b Abs. 1 OR). Die Klage muss innert 180 Tagen nach Ende des Arbeitsverhältnisses anhängig gemacht werden; dieses Fristende haben wir im Kalender vorgemerkt. Rufen Sie mich bitte unter der untenstehenden Direktnummer an, wenn etwas unklar ist oder sich Ihre Situation ändert.</w:t>
      </w:r>
    </w:p>
    <w:p>
      <w:pPr>
        <w:spacing w:after="600" w:before="160"/>
      </w:pPr>
      <w:r>
        <w:rPr>
          <w:rFonts w:ascii="Georgia" w:hAnsi="Georgia"/>
          <w:b w:val="0"/>
          <w:sz w:val="22"/>
          <w:u w:val="none"/>
        </w:rPr>
        <w:t>Freundliche Grüsse</w:t>
      </w:r>
    </w:p>
    <w:p>
      <w:pPr>
        <w:spacing w:after="0" w:before="0"/>
      </w:pPr>
      <w:r>
        <w:rPr>
          <w:rFonts w:ascii="Georgia" w:hAnsi="Georgia"/>
          <w:b/>
          <w:sz w:val="22"/>
          <w:u w:val="none"/>
        </w:rPr>
        <w:t>Adam Frith</w:t>
      </w:r>
    </w:p>
    <w:p>
      <w:pPr>
        <w:spacing w:after="0" w:before="0"/>
      </w:pPr>
      <w:r>
        <w:rPr>
          <w:rFonts w:ascii="Georgia" w:hAnsi="Georgia"/>
          <w:b w:val="0"/>
          <w:sz w:val="20"/>
          <w:u w:val="none"/>
        </w:rPr>
        <w:t>Rechtsanwalt, Partner Arbeitsrecht</w:t>
      </w:r>
    </w:p>
    <w:p>
      <w:pPr>
        <w:spacing w:after="0" w:before="0"/>
      </w:pPr>
      <w:r>
        <w:rPr>
          <w:rFonts w:ascii="Georgia" w:hAnsi="Georgia"/>
          <w:b w:val="0"/>
          <w:sz w:val="20"/>
          <w:u w:val="none"/>
        </w:rPr>
        <w:t>Aldridge Vine Rechtsanwälte AG</w:t>
      </w:r>
    </w:p>
    <w:p>
      <w:pPr>
        <w:spacing w:after="0" w:before="0"/>
      </w:pPr>
      <w:r>
        <w:rPr>
          <w:rFonts w:ascii="Georgia" w:hAnsi="Georgia"/>
          <w:b w:val="0"/>
          <w:color w:val="666666"/>
          <w:sz w:val="18"/>
          <w:u w:val="none"/>
        </w:rPr>
        <w:t>Direkt 044 246 88 14   |   adam.frith@aldridgevine.example</w:t>
      </w:r>
    </w:p>
    <w:sectPr w:rsidR="00FC693F" w:rsidRPr="0006063C" w:rsidSect="00034616">
      <w:headerReference w:type="default" r:id="rId9"/>
      <w:footerReference w:type="default" r:id="rId10"/>
      <w:pgSz w:w="12240" w:h="15840"/>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40"/>
      <w:jc w:val="center"/>
    </w:pPr>
    <w:r>
      <w:rPr>
        <w:rFonts w:ascii="Georgia" w:hAnsi="Georgia"/>
        <w:color w:val="666666"/>
        <w:sz w:val="14"/>
      </w:rPr>
      <w:t>Aldridge Vine Rechtsanwälte AG, Minerva-Haus, Pelikanstrasse 29, 8001 Zürich. Die Anwältinnen und Anwälte sind im Anwaltsregister des Kantons Zürich eingetragen und unterstehen dem Berufsgeheimnis (Art. 13 BGFA).</w:t>
    </w:r>
  </w:p>
  <w:p>
    <w:pPr>
      <w:spacing w:after="0"/>
      <w:jc w:val="center"/>
    </w:pPr>
    <w:r>
      <w:rPr>
        <w:rFonts w:ascii="Georgia" w:hAnsi="Georgia"/>
        <w:color w:val="666666"/>
        <w:sz w:val="14"/>
      </w:rPr>
      <w:t xml:space="preserve">Seite </w:t>
    </w:r>
    <w:r>
      <w:rPr>
        <w:rFonts w:ascii="Georgia" w:hAnsi="Georgia"/>
        <w:color w:val="666666"/>
        <w:sz w:val="14"/>
      </w:rPr>
      <w:t>1</w:t>
    </w:r>
    <w:r>
      <w:rPr>
        <w:rFonts w:ascii="Georgia" w:hAnsi="Georgia"/>
        <w:color w:val="666666"/>
        <w:sz w:val="14"/>
      </w:rPr>
      <w:t xml:space="preserve"> von </w:t>
    </w:r>
    <w:r>
      <w:rPr>
        <w:rFonts w:ascii="Georgia" w:hAnsi="Georgia"/>
        <w:color w:val="666666"/>
        <w:sz w:val="14"/>
      </w:rPr>
      <w:t>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Pr>
    <w:r>
      <w:drawing>
        <wp:inline xmlns:a="http://schemas.openxmlformats.org/drawingml/2006/main" xmlns:pic="http://schemas.openxmlformats.org/drawingml/2006/picture">
          <wp:extent cx="2232000" cy="233120"/>
          <wp:docPr id="1" name="Picture 1"/>
          <wp:cNvGraphicFramePr>
            <a:graphicFrameLocks noChangeAspect="1"/>
          </wp:cNvGraphicFramePr>
          <a:graphic>
            <a:graphicData uri="http://schemas.openxmlformats.org/drawingml/2006/picture">
              <pic:pic>
                <pic:nvPicPr>
                  <pic:cNvPr id="0" name="aldridge_vine_wordmark.png"/>
                  <pic:cNvPicPr/>
                </pic:nvPicPr>
                <pic:blipFill>
                  <a:blip r:embed="rId1"/>
                  <a:stretch>
                    <a:fillRect/>
                  </a:stretch>
                </pic:blipFill>
                <pic:spPr>
                  <a:xfrm>
                    <a:off x="0" y="0"/>
                    <a:ext cx="2232000" cy="233120"/>
                  </a:xfrm>
                  <a:prstGeom prst="rect"/>
                </pic:spPr>
              </pic:pic>
            </a:graphicData>
          </a:graphic>
        </wp:inline>
      </w:drawing>
    </w:r>
  </w:p>
  <w:p>
    <w:pPr>
      <w:spacing w:after="0"/>
      <w:pBdr>
        <w:bottom w:val="single" w:sz="8" w:space="4" w:color="1A1A5E"/>
      </w:pBdr>
    </w:pPr>
    <w:r>
      <w:rPr>
        <w:rFonts w:ascii="Georgia" w:hAnsi="Georgia"/>
        <w:color w:val="666666"/>
        <w:sz w:val="15"/>
      </w:rPr>
      <w:t>Minerva-Haus, Pelikanstrasse 29, 8001 Zürich   |   T 044 246 88 00   |   www.aldridgevine.example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eastAsia="Georgia" w:cs="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Aldridge_Vine_Briefvorlage</dc:title>
  <dc:subject>Fictional house-style example document for Andri knowledge base use</dc:subject>
  <dc:creator>Aldridge Vine LLP</dc:creator>
  <cp:keywords/>
  <dc:description/>
  <cp:lastModifiedBy/>
  <cp:revision>1</cp:revision>
  <dcterms:created xsi:type="dcterms:W3CDTF">2025-04-14T09:30:00Z</dcterms:created>
  <dcterms:modified xsi:type="dcterms:W3CDTF">2025-04-14T09:30:00Z</dcterms:modified>
  <cp:category/>
  <dc:language>de-CH</dc:language>
</cp:coreProperties>
</file>