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00"/>
      </w:pPr>
      <w:r>
        <w:rPr>
          <w:rFonts w:ascii="Georgia" w:hAnsi="Georgia"/>
          <w:b/>
          <w:color w:val="B40000"/>
          <w:sz w:val="18"/>
          <w:u w:val="none"/>
        </w:rPr>
        <w:t>VERTRAULICH – ANWALTSGEHEIMNIS</w:t>
      </w:r>
    </w:p>
    <w:p>
      <w:pPr>
        <w:spacing w:after="200" w:before="0"/>
      </w:pPr>
      <w:r>
        <w:rPr>
          <w:rFonts w:ascii="Georgia" w:hAnsi="Georgia"/>
          <w:b/>
          <w:color w:val="1A1A5E"/>
          <w:sz w:val="30"/>
          <w:u w:val="none"/>
        </w:rPr>
        <w:t>INTERNES MEMORANDUM</w:t>
      </w:r>
    </w:p>
    <w:tbl>
      <w:tblPr>
        <w:tblW w:type="auto" w:w="0"/>
        <w:jc w:val="left"/>
        <w:tblLayout w:type="fixed"/>
        <w:tblLook w:firstColumn="1" w:firstRow="1" w:lastColumn="0" w:lastRow="0" w:noHBand="0" w:noVBand="1" w:val="04A0"/>
      </w:tblPr>
      <w:tblGrid>
        <w:gridCol w:w="1361"/>
        <w:gridCol w:w="7710"/>
      </w:tblGrid>
      <w:tr>
        <w:tc>
          <w:tcPr>
            <w:tcW w:type="dxa" w:w="1361"/>
          </w:tcPr>
          <w:p>
            <w:pPr>
              <w:spacing w:after="40"/>
            </w:pPr>
            <w:r>
              <w:rPr>
                <w:rFonts w:ascii="Georgia" w:hAnsi="Georgia"/>
                <w:b/>
                <w:sz w:val="20"/>
              </w:rPr>
              <w:t>An:</w:t>
            </w:r>
          </w:p>
        </w:tc>
        <w:tc>
          <w:tcPr>
            <w:tcW w:type="dxa" w:w="7710"/>
          </w:tcPr>
          <w:p>
            <w:pPr>
              <w:spacing w:after="40"/>
            </w:pPr>
            <w:r>
              <w:rPr>
                <w:rFonts w:ascii="Georgia" w:hAnsi="Georgia"/>
                <w:b w:val="0"/>
                <w:sz w:val="20"/>
              </w:rPr>
              <w:t>Adam Frith, Partner Arbeitsrecht</w:t>
            </w:r>
          </w:p>
        </w:tc>
      </w:tr>
      <w:tr>
        <w:tc>
          <w:tcPr>
            <w:tcW w:type="dxa" w:w="1361"/>
          </w:tcPr>
          <w:p>
            <w:pPr>
              <w:spacing w:after="40"/>
            </w:pPr>
            <w:r>
              <w:rPr>
                <w:rFonts w:ascii="Georgia" w:hAnsi="Georgia"/>
                <w:b/>
                <w:sz w:val="20"/>
              </w:rPr>
              <w:t>Von:</w:t>
            </w:r>
          </w:p>
        </w:tc>
        <w:tc>
          <w:tcPr>
            <w:tcW w:type="dxa" w:w="7710"/>
          </w:tcPr>
          <w:p>
            <w:pPr>
              <w:spacing w:after="40"/>
            </w:pPr>
            <w:r>
              <w:rPr>
                <w:rFonts w:ascii="Georgia" w:hAnsi="Georgia"/>
                <w:b w:val="0"/>
                <w:sz w:val="20"/>
              </w:rPr>
              <w:t>Rosalind Keane, Substitutin</w:t>
            </w:r>
          </w:p>
        </w:tc>
      </w:tr>
      <w:tr>
        <w:tc>
          <w:tcPr>
            <w:tcW w:type="dxa" w:w="1361"/>
          </w:tcPr>
          <w:p>
            <w:pPr>
              <w:spacing w:after="40"/>
            </w:pPr>
            <w:r>
              <w:rPr>
                <w:rFonts w:ascii="Georgia" w:hAnsi="Georgia"/>
                <w:b/>
                <w:sz w:val="20"/>
              </w:rPr>
              <w:t>Datum:</w:t>
            </w:r>
          </w:p>
        </w:tc>
        <w:tc>
          <w:tcPr>
            <w:tcW w:type="dxa" w:w="7710"/>
          </w:tcPr>
          <w:p>
            <w:pPr>
              <w:spacing w:after="40"/>
            </w:pPr>
            <w:r>
              <w:rPr>
                <w:rFonts w:ascii="Georgia" w:hAnsi="Georgia"/>
                <w:b w:val="0"/>
                <w:sz w:val="20"/>
              </w:rPr>
              <w:t>16. April 2025</w:t>
            </w:r>
          </w:p>
        </w:tc>
      </w:tr>
      <w:tr>
        <w:tc>
          <w:tcPr>
            <w:tcW w:type="dxa" w:w="1361"/>
          </w:tcPr>
          <w:p>
            <w:pPr>
              <w:spacing w:after="40"/>
            </w:pPr>
            <w:r>
              <w:rPr>
                <w:rFonts w:ascii="Georgia" w:hAnsi="Georgia"/>
                <w:b/>
                <w:sz w:val="20"/>
              </w:rPr>
              <w:t>Mandat:</w:t>
            </w:r>
          </w:p>
        </w:tc>
        <w:tc>
          <w:tcPr>
            <w:tcW w:type="dxa" w:w="7710"/>
          </w:tcPr>
          <w:p>
            <w:pPr>
              <w:spacing w:after="40"/>
            </w:pPr>
            <w:r>
              <w:rPr>
                <w:rFonts w:ascii="Georgia" w:hAnsi="Georgia"/>
                <w:b w:val="0"/>
                <w:sz w:val="20"/>
              </w:rPr>
              <w:t>Nair / Calderdale Logistik AG (unser Zeichen AV/HR/NAIR/0318)</w:t>
            </w:r>
          </w:p>
        </w:tc>
      </w:tr>
      <w:tr>
        <w:tc>
          <w:tcPr>
            <w:tcW w:type="dxa" w:w="1361"/>
          </w:tcPr>
          <w:p>
            <w:pPr>
              <w:spacing w:after="40"/>
            </w:pPr>
            <w:r>
              <w:rPr>
                <w:rFonts w:ascii="Georgia" w:hAnsi="Georgia"/>
                <w:b/>
                <w:sz w:val="20"/>
              </w:rPr>
              <w:t>Betreff:</w:t>
            </w:r>
          </w:p>
        </w:tc>
        <w:tc>
          <w:tcPr>
            <w:tcW w:type="dxa" w:w="7710"/>
          </w:tcPr>
          <w:p>
            <w:pPr>
              <w:spacing w:after="40"/>
            </w:pPr>
            <w:r>
              <w:rPr>
                <w:rFonts w:ascii="Georgia" w:hAnsi="Georgia"/>
                <w:b w:val="0"/>
                <w:sz w:val="20"/>
              </w:rPr>
              <w:t>Erste Einschätzung der Ansprüche aus der Kündigung</w:t>
            </w:r>
          </w:p>
        </w:tc>
      </w:tr>
    </w:tbl>
    <w:p>
      <w:pPr>
        <w:pBdr>
          <w:bottom w:val="single" w:sz="8" w:space="4" w:color="1A1A5E"/>
        </w:pBdr>
      </w:pPr>
    </w:p>
    <w:p>
      <w:pPr>
        <w:spacing w:after="80" w:before="240"/>
      </w:pPr>
      <w:r>
        <w:rPr>
          <w:rFonts w:ascii="Georgia" w:hAnsi="Georgia"/>
          <w:b/>
          <w:color w:val="1A1A5E"/>
          <w:sz w:val="23"/>
          <w:u w:val="none"/>
        </w:rPr>
        <w:t>Sachverhalt</w:t>
      </w:r>
    </w:p>
    <w:p>
      <w:pPr>
        <w:spacing w:after="160" w:before="0"/>
      </w:pPr>
      <w:r>
        <w:rPr>
          <w:rFonts w:ascii="Georgia" w:hAnsi="Georgia"/>
          <w:b w:val="0"/>
          <w:sz w:val="22"/>
          <w:u w:val="none"/>
        </w:rPr>
        <w:t>Unsere Klientin, Frau Priya Nair, ist seit sieben Jahren als Leiterin Operations bei der Calderdale Logistik AG angestellt. Nach der Geburt ihres Sohnes am 19. Mai 2024 bezog sie den Mutterschaftsurlaub und anschliessend einen vereinbarten unbezahlten Urlaub; am 13. Januar 2025 kehrte sie zurück. Dabei stellte sie fest, dass ihre Stellvertretung im Amt geblieben war und die wesentlichen Aufgaben der Leiterin Operations neu verteilt worden waren.</w:t>
      </w:r>
    </w:p>
    <w:p>
      <w:pPr>
        <w:spacing w:after="160" w:before="0"/>
      </w:pPr>
      <w:r>
        <w:rPr>
          <w:rFonts w:ascii="Georgia" w:hAnsi="Georgia"/>
          <w:b w:val="0"/>
          <w:sz w:val="22"/>
          <w:u w:val="none"/>
        </w:rPr>
        <w:t>Die Arbeitgeberin führte im Februar und März 2025 zwei Gespräche und kündigte das Arbeitsverhältnis mit Schreiben vom 14. März 2025 wegen einer Reorganisation auf den 31. Mai 2025; Frau Nair ist freigestellt. Die Erstbesprechung in unserem Büro fand am 10. April 2025 statt; die Einsprache wurde am 14. April 2025 erhoben.</w:t>
      </w:r>
    </w:p>
    <w:p>
      <w:pPr>
        <w:spacing w:after="80" w:before="240"/>
      </w:pPr>
      <w:r>
        <w:rPr>
          <w:rFonts w:ascii="Georgia" w:hAnsi="Georgia"/>
          <w:b/>
          <w:color w:val="1A1A5E"/>
          <w:sz w:val="23"/>
          <w:u w:val="none"/>
        </w:rPr>
        <w:t>Fragestellungen</w:t>
      </w:r>
    </w:p>
    <w:p>
      <w:pPr>
        <w:spacing w:after="160" w:before="0"/>
      </w:pPr>
      <w:r>
        <w:rPr>
          <w:rFonts w:ascii="Georgia" w:hAnsi="Georgia"/>
          <w:b w:val="0"/>
          <w:sz w:val="22"/>
          <w:u w:val="none"/>
        </w:rPr>
        <w:t>Erstens, ob tatsächlich eine Reorganisation vorlag oder ob eine Funktion, die in den Händen der Stellvertretung weiterbesteht, nur als aufgehoben bezeichnet wurde. Zweitens, ob die Kündigung und die Neuverteilung der Aufgaben die Klientin aufgrund ihres Geschlechts benachteiligen (Art. 3 GlG). Drittens, ob die Kündigung missbräuchlich ist (Art. 336 Abs. 1 lit. a OR). Viertens, die Fristen nach Art. 336b OR und das Schlichtungsverfahren.</w:t>
      </w:r>
    </w:p>
    <w:p>
      <w:pPr>
        <w:spacing w:after="80" w:before="240"/>
      </w:pPr>
      <w:r>
        <w:rPr>
          <w:rFonts w:ascii="Georgia" w:hAnsi="Georgia"/>
          <w:b/>
          <w:color w:val="1A1A5E"/>
          <w:sz w:val="23"/>
          <w:u w:val="none"/>
        </w:rPr>
        <w:t>Analyse</w:t>
      </w:r>
    </w:p>
    <w:p>
      <w:pPr>
        <w:spacing w:after="160" w:before="0"/>
      </w:pPr>
      <w:r>
        <w:rPr>
          <w:rFonts w:ascii="Georgia" w:hAnsi="Georgia"/>
          <w:b w:val="0"/>
          <w:sz w:val="22"/>
          <w:u w:val="none"/>
        </w:rPr>
        <w:t>Der Kündigungsschutz nach Art. 336c Abs. 1 lit. c OR greift nicht, weil die Sperrfrist von 16 Wochen nach der Niederkunft im September 2024 endete; die Kündigung ist gültig. Es geht daher um eine Entschädigung, nicht um eine Weiterbeschäftigung (Art. 5 Abs. 2 GlG). Entscheidend ist, dass die Stellvertretung aus dem Mutterschaftsurlaub dieselbe Funktion weiterführt; das ist anhand der Organigramme, Stellenbeschreibungen und Gesprächsprotokolle der Arbeitgeberin zu prüfen.</w:t>
      </w:r>
    </w:p>
    <w:p>
      <w:pPr>
        <w:spacing w:after="160" w:before="0"/>
      </w:pPr>
      <w:r>
        <w:rPr>
          <w:rFonts w:ascii="Georgia" w:hAnsi="Georgia"/>
          <w:b w:val="0"/>
          <w:sz w:val="22"/>
          <w:u w:val="none"/>
        </w:rPr>
        <w:t>Gelingt es, die Diskriminierung glaubhaft zu machen, wird sie vermutet (Art. 6 GlG), und die Arbeitgeberin muss sachliche Gründe beweisen. Die Entschädigung beträgt höchstens sechs Monatslöhne (Art. 5 Abs. 4 GlG); Ansprüche auf Genugtuung bleiben vorbehalten (Art. 5 Abs. 5 GlG, Art. 49 OR). Der Anspruch aus Art. 336a OR ist eventualiter zu prüfen; er führt nicht zu einer zweiten Entschädigung für denselben Sachverhalt.</w:t>
      </w:r>
    </w:p>
    <w:p>
      <w:pPr>
        <w:spacing w:after="160" w:before="0"/>
      </w:pPr>
      <w:r>
        <w:rPr>
          <w:rFonts w:ascii="Georgia" w:hAnsi="Georgia"/>
          <w:b w:val="0"/>
          <w:sz w:val="22"/>
          <w:u w:val="none"/>
        </w:rPr>
        <w:t>Zu den Fristen: Die Einsprache ist erfolgt. Die Klage muss innert 180 Tagen nach Ende des Arbeitsverhältnisses, also bis zum 27. November 2025, anhängig gemacht werden (Art. 336b Abs. 2 OR); dafür genügt das Schlichtungsgesuch bei der Schlichtungsbehörde nach Gleichstellungsgesetz (Art. 197 und 200 Abs. 2 ZPO). Gerichtskosten fallen keine an (Art. 113 Abs. 2 lit. a und Art. 114 lit. a ZPO).</w:t>
      </w:r>
    </w:p>
    <w:p>
      <w:pPr>
        <w:spacing w:after="80" w:before="240"/>
      </w:pPr>
      <w:r>
        <w:rPr>
          <w:rFonts w:ascii="Georgia" w:hAnsi="Georgia"/>
          <w:b/>
          <w:color w:val="1A1A5E"/>
          <w:sz w:val="23"/>
          <w:u w:val="none"/>
        </w:rPr>
        <w:t>Empfehlung</w:t>
      </w:r>
    </w:p>
    <w:p>
      <w:pPr>
        <w:spacing w:after="160" w:before="0"/>
      </w:pPr>
      <w:r>
        <w:rPr>
          <w:rFonts w:ascii="Georgia" w:hAnsi="Georgia"/>
          <w:b w:val="0"/>
          <w:sz w:val="22"/>
          <w:u w:val="none"/>
        </w:rPr>
        <w:t>Arbeitsvertrag, Lohnabrechnungen, Mitarbeitergespräche und die gesamte Korrespondenz bei der Klientin einholen und danach eine Chronologie und eine erste Forderungsaufstellung erstellen. Das Schlichtungsgesuch nach Eingang der Unterlagen, spätestens im Juni 2025, einreichen. Die Klientin erst nach Prüfung der Unterlagen zu Kosten und Prozessaussichten beraten und dem Partner berichten, bevor Korrespondenz an die Arbeitgeberin oder deren Rechtsvertretung geht.</w:t>
      </w:r>
    </w:p>
    <w:sectPr w:rsidR="00FC693F" w:rsidRPr="0006063C" w:rsidSect="00034616">
      <w:headerReference w:type="default" r:id="rId9"/>
      <w:footerReference w:type="default" r:id="rId10"/>
      <w:pgSz w:w="12240" w:h="15840"/>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jc w:val="center"/>
    </w:pPr>
    <w:r>
      <w:rPr>
        <w:rFonts w:ascii="Georgia" w:hAnsi="Georgia"/>
        <w:color w:val="666666"/>
        <w:sz w:val="14"/>
      </w:rPr>
      <w:t>Aldridge Vine Rechtsanwälte AG, Minerva-Haus, Pelikanstrasse 29, 8001 Zürich. Die Anwältinnen und Anwälte sind im Anwaltsregister des Kantons Zürich eingetragen und unterstehen dem Berufsgeheimnis (Art. 13 BGFA).</w:t>
    </w:r>
  </w:p>
  <w:p>
    <w:pPr>
      <w:spacing w:after="0"/>
      <w:jc w:val="center"/>
    </w:pPr>
    <w:r>
      <w:rPr>
        <w:rFonts w:ascii="Georgia" w:hAnsi="Georgia"/>
        <w:color w:val="666666"/>
        <w:sz w:val="14"/>
      </w:rPr>
      <w:t xml:space="preserve">Seite </w:t>
    </w:r>
    <w:r>
      <w:rPr>
        <w:rFonts w:ascii="Georgia" w:hAnsi="Georgia"/>
        <w:color w:val="666666"/>
        <w:sz w:val="14"/>
      </w:rPr>
      <w:t>1</w:t>
    </w:r>
    <w:r>
      <w:rPr>
        <w:rFonts w:ascii="Georgia" w:hAnsi="Georgia"/>
        <w:color w:val="666666"/>
        <w:sz w:val="14"/>
      </w:rPr>
      <w:t xml:space="preserve"> von </w:t>
    </w:r>
    <w:r>
      <w:rPr>
        <w:rFonts w:ascii="Georgia" w:hAnsi="Georgia"/>
        <w:color w:val="666666"/>
        <w:sz w:val="14"/>
      </w:rPr>
      <w:t>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drawing>
        <wp:inline xmlns:a="http://schemas.openxmlformats.org/drawingml/2006/main" xmlns:pic="http://schemas.openxmlformats.org/drawingml/2006/picture">
          <wp:extent cx="2232000" cy="233120"/>
          <wp:docPr id="1" name="Picture 1"/>
          <wp:cNvGraphicFramePr>
            <a:graphicFrameLocks noChangeAspect="1"/>
          </wp:cNvGraphicFramePr>
          <a:graphic>
            <a:graphicData uri="http://schemas.openxmlformats.org/drawingml/2006/picture">
              <pic:pic>
                <pic:nvPicPr>
                  <pic:cNvPr id="0" name="aldridge_vine_wordmark.png"/>
                  <pic:cNvPicPr/>
                </pic:nvPicPr>
                <pic:blipFill>
                  <a:blip r:embed="rId1"/>
                  <a:stretch>
                    <a:fillRect/>
                  </a:stretch>
                </pic:blipFill>
                <pic:spPr>
                  <a:xfrm>
                    <a:off x="0" y="0"/>
                    <a:ext cx="2232000" cy="233120"/>
                  </a:xfrm>
                  <a:prstGeom prst="rect"/>
                </pic:spPr>
              </pic:pic>
            </a:graphicData>
          </a:graphic>
        </wp:inline>
      </w:drawing>
    </w:r>
  </w:p>
  <w:p>
    <w:pPr>
      <w:spacing w:after="0"/>
      <w:pBdr>
        <w:bottom w:val="single" w:sz="8" w:space="4" w:color="1A1A5E"/>
      </w:pBdr>
    </w:pPr>
    <w:r>
      <w:rPr>
        <w:rFonts w:ascii="Georgia" w:hAnsi="Georgia"/>
        <w:color w:val="666666"/>
        <w:sz w:val="15"/>
      </w:rPr>
      <w:t>Minerva-Haus, Pelikanstrasse 29, 8001 Zürich   |   T 044 246 88 00   |   www.aldridgevine.example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Aldridge_Vine_Memovorlage</dc:title>
  <dc:subject>Fictional house-style example document for Andri knowledge base use</dc:subject>
  <dc:creator>Aldridge Vine LLP</dc:creator>
  <cp:keywords/>
  <dc:description/>
  <cp:lastModifiedBy/>
  <cp:revision>1</cp:revision>
  <dcterms:created xsi:type="dcterms:W3CDTF">2025-04-16T11:00:00Z</dcterms:created>
  <dcterms:modified xsi:type="dcterms:W3CDTF">2025-04-16T11:00:00Z</dcterms:modified>
  <cp:category/>
  <dc:language>de-CH</dc:language>
</cp:coreProperties>
</file>