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32"/>
        </w:rPr>
        <w:t>AKTENNOTIZ</w:t>
      </w:r>
    </w:p>
    <w:p>
      <w:r>
        <w:rPr>
          <w:b/>
          <w:color w:val="B40000"/>
          <w:sz w:val="18"/>
        </w:rPr>
        <w:t>STRENG VERTRAULICH</w:t>
      </w:r>
    </w:p>
    <w:p>
      <w:pPr>
        <w:pBdr>
          <w:bottom w:val="single" w:sz="12" w:space="1" w:color="5B2A86"/>
        </w:pBdr>
      </w:pPr>
      <w:r>
        <w:rPr>
          <w:b/>
          <w:color w:val="B40000"/>
          <w:sz w:val="18"/>
        </w:rPr>
        <w:t>ANWALTSGEHEIMNIS</w:t>
      </w:r>
    </w:p>
    <w:tbl>
      <w:tblPr>
        <w:tblW w:type="auto" w:w="0"/>
        <w:tblLayout w:type="autofit"/>
        <w:tblLook w:firstColumn="1" w:firstRow="1" w:lastColumn="0" w:lastRow="0" w:noHBand="0" w:noVBand="1" w:val="04A0"/>
      </w:tblPr>
      <w:tblGrid>
        <w:gridCol w:w="4844"/>
        <w:gridCol w:w="4844"/>
      </w:tblGrid>
      <w:tr>
        <w:tc>
          <w:tcPr>
            <w:tcW w:type="dxa" w:w="4844"/>
          </w:tcPr>
          <w:p>
            <w:r>
              <w:rPr>
                <w:b/>
                <w:sz w:val="20"/>
              </w:rPr>
              <w:t>An:</w:t>
            </w:r>
          </w:p>
        </w:tc>
        <w:tc>
          <w:tcPr>
            <w:tcW w:type="dxa" w:w="4844"/>
          </w:tcPr>
          <w:p>
            <w:r>
              <w:rPr>
                <w:sz w:val="20"/>
              </w:rPr>
              <w:t>Akten</w:t>
            </w:r>
          </w:p>
        </w:tc>
      </w:tr>
      <w:tr>
        <w:tc>
          <w:tcPr>
            <w:tcW w:type="dxa" w:w="4844"/>
          </w:tcPr>
          <w:p>
            <w:r>
              <w:rPr>
                <w:b/>
                <w:sz w:val="20"/>
              </w:rPr>
              <w:t>Von:</w:t>
            </w:r>
          </w:p>
        </w:tc>
        <w:tc>
          <w:tcPr>
            <w:tcW w:type="dxa" w:w="4844"/>
          </w:tcPr>
          <w:p>
            <w:r>
              <w:rPr>
                <w:sz w:val="20"/>
              </w:rPr>
              <w:t>Adam Frith</w:t>
            </w:r>
          </w:p>
        </w:tc>
      </w:tr>
      <w:tr>
        <w:tc>
          <w:tcPr>
            <w:tcW w:type="dxa" w:w="4844"/>
          </w:tcPr>
          <w:p>
            <w:r>
              <w:rPr>
                <w:b/>
                <w:sz w:val="20"/>
              </w:rPr>
              <w:t>Datum:</w:t>
            </w:r>
          </w:p>
        </w:tc>
        <w:tc>
          <w:tcPr>
            <w:tcW w:type="dxa" w:w="4844"/>
          </w:tcPr>
          <w:p>
            <w:r>
              <w:rPr>
                <w:sz w:val="20"/>
              </w:rPr>
              <w:t>10. April 2025</w:t>
            </w:r>
          </w:p>
        </w:tc>
      </w:tr>
      <w:tr>
        <w:tc>
          <w:tcPr>
            <w:tcW w:type="dxa" w:w="4844"/>
          </w:tcPr>
          <w:p>
            <w:r>
              <w:rPr>
                <w:b/>
                <w:sz w:val="20"/>
              </w:rPr>
              <w:t>Unser Zeichen:</w:t>
            </w:r>
          </w:p>
        </w:tc>
        <w:tc>
          <w:tcPr>
            <w:tcW w:type="dxa" w:w="4844"/>
          </w:tcPr>
          <w:p>
            <w:r>
              <w:rPr>
                <w:sz w:val="20"/>
              </w:rPr>
              <w:t>AV/HR/NAIR/0318</w:t>
            </w:r>
          </w:p>
        </w:tc>
      </w:tr>
      <w:tr>
        <w:tc>
          <w:tcPr>
            <w:tcW w:type="dxa" w:w="4844"/>
          </w:tcPr>
          <w:p>
            <w:r>
              <w:rPr>
                <w:b/>
                <w:sz w:val="20"/>
              </w:rPr>
              <w:t>Betreff:</w:t>
            </w:r>
          </w:p>
        </w:tc>
        <w:tc>
          <w:tcPr>
            <w:tcW w:type="dxa" w:w="4844"/>
          </w:tcPr>
          <w:p>
            <w:r>
              <w:rPr>
                <w:sz w:val="20"/>
              </w:rPr>
              <w:t>Erstbesprechung mit Frau Nair</w:t>
            </w:r>
          </w:p>
        </w:tc>
      </w:tr>
    </w:tbl>
    <w:p/>
    <w:p>
      <w:pPr>
        <w:spacing w:after="160"/>
      </w:pPr>
      <w:r>
        <w:rPr>
          <w:sz w:val="22"/>
        </w:rPr>
        <w:t>Besprechung mit Frau Priya Nair in unserem Büro (eine Stunde) nach der Kündigung durch die Calderdale Logistik AG vom 14. März 2025 auf den 31. Mai 2025. Frau Nair ist seit der Kündigung freigestellt.</w:t>
      </w:r>
    </w:p>
    <w:p>
      <w:pPr>
        <w:spacing w:after="160"/>
      </w:pPr>
      <w:r>
        <w:rPr>
          <w:sz w:val="22"/>
        </w:rPr>
        <w:t>Frau Nair ist seit sieben Jahren als Leiterin Operations angestellt. Nach der Geburt ihres Sohnes am 19. Mai 2024 bezog sie den Mutterschaftsurlaub und anschliessend einen vereinbarten unbezahlten Urlaub. Bei ihrer Rückkehr am 13. Januar 2025 war ihre Stellvertretung, Herr James Thornton, weiterhin im Amt und ihr Aufgabenbereich ausgehöhlt. Am 17. Februar 2025 wurde ihr mitgeteilt, ihre Stelle sei von einer Reorganisation betroffen.</w:t>
      </w:r>
    </w:p>
    <w:p>
      <w:pPr>
        <w:spacing w:after="160"/>
      </w:pPr>
      <w:r>
        <w:rPr>
          <w:sz w:val="22"/>
        </w:rPr>
        <w:t>Beratung: Die Sperrfrist nach Art. 336c Abs. 1 lit. c OR war im Zeitpunkt der Kündigung abgelaufen; die Kündigung ist daher gültig. Nach ihrer Darstellung bestehen aber gute Argumente für eine diskriminierende Kündigung nach Art. 3 GlG, mit der Beweislasterleichterung nach Art. 6 GlG, und für eine missbräuchliche Kündigung nach Art. 336 Abs. 1 lit. a OR. Dass die männliche Stellvertretung aus dem Mutterschaftsurlaub die Funktion behalten hat, ist ein starkes Indiz.</w:t>
      </w:r>
    </w:p>
    <w:p>
      <w:pPr>
        <w:spacing w:after="160"/>
      </w:pPr>
      <w:r>
        <w:rPr>
          <w:sz w:val="22"/>
        </w:rPr>
        <w:t>Fristen: Die Einsprache gegen die Kündigung muss schriftlich und spätestens bis zum Ende der Kündigungsfrist am 31. Mai 2025 bei der Arbeitgeberin eingehen (Art. 336b Abs. 1 OR in Verbindung mit Art. 9 GlG). Ich habe Frau Nair bestätigt, dass wir die Einsprache diese Woche erheben. Die Klage muss innert 180 Tagen nach Ende des Arbeitsverhältnisses anhängig gemacht werden (Art. 336b Abs. 2 OR); dafür genügt das Schlichtungsgesuch.</w:t>
      </w:r>
    </w:p>
    <w:p>
      <w:pPr>
        <w:spacing w:after="160"/>
      </w:pPr>
      <w:r>
        <w:rPr>
          <w:sz w:val="22"/>
        </w:rPr>
        <w:t>Pendenzen: Einsprache verfassen und eingeschrieben versenden; Arbeitsvertrag, Lohnabrechnungen, Mitarbeitergespräche und die gesamte Korrespondenz zur Reorganisation einholen; Frau Nair zu Kosten und Prozessaussichten beraten; Fristende (27. November 2025) im Kalender eintragen.</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11_Aktennotiz</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de-CH</dc:language>
</cp:coreProperties>
</file>