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18"/>
        </w:rPr>
        <w:t>ARBEITSGERICHT ZÜRICH, 2. ABTEILUNG</w:t>
      </w:r>
    </w:p>
    <w:p>
      <w:pPr>
        <w:jc w:val="right"/>
      </w:pPr>
      <w:r>
        <w:rPr>
          <w:b/>
          <w:sz w:val="18"/>
        </w:rPr>
        <w:t>Geschäfts-Nr. AN250742-L</w:t>
      </w:r>
    </w:p>
    <w:p>
      <w:pPr>
        <w:jc w:val="right"/>
      </w:pPr>
      <w:r>
        <w:rPr>
          <w:sz w:val="18"/>
        </w:rPr>
        <w:t>PRIYA NAIR (Klägerin)</w:t>
      </w:r>
    </w:p>
    <w:p>
      <w:pPr>
        <w:jc w:val="right"/>
      </w:pPr>
      <w:r>
        <w:rPr>
          <w:sz w:val="18"/>
        </w:rPr>
        <w:t>CALDERDALE LOGISTIK AG (Beklagte)</w:t>
      </w:r>
    </w:p>
    <w:p>
      <w:pPr>
        <w:jc w:val="center"/>
        <w:pBdr>
          <w:bottom w:val="single" w:sz="12" w:space="1" w:color="5B2A86"/>
        </w:pBdr>
      </w:pPr>
      <w:r>
        <w:rPr>
          <w:b/>
          <w:color w:val="5B2A86"/>
          <w:sz w:val="26"/>
        </w:rPr>
        <w:t>PLÄDOYERNOTIZEN DER KLÄGERIN</w:t>
      </w:r>
    </w:p>
    <w:p>
      <w:pPr>
        <w:spacing w:after="40"/>
      </w:pPr>
      <w:r>
        <w:rPr>
          <w:b/>
          <w:sz w:val="20"/>
        </w:rPr>
        <w:t xml:space="preserve">Hauptverhandlung: </w:t>
      </w:r>
      <w:r>
        <w:rPr>
          <w:sz w:val="20"/>
        </w:rPr>
        <w:t>10. Februar 2026</w:t>
      </w:r>
    </w:p>
    <w:p>
      <w:pPr>
        <w:spacing w:after="40"/>
      </w:pPr>
      <w:r>
        <w:rPr>
          <w:b/>
          <w:sz w:val="20"/>
        </w:rPr>
        <w:t xml:space="preserve">Verfahren: </w:t>
      </w:r>
      <w:r>
        <w:rPr>
          <w:sz w:val="20"/>
        </w:rPr>
        <w:t>beschränkt auf den Grundsatz der Haftung (Art. 125 lit. a ZPO)</w:t>
      </w:r>
    </w:p>
    <w:p>
      <w:pPr>
        <w:spacing w:after="40"/>
      </w:pPr>
      <w:r>
        <w:rPr>
          <w:b/>
          <w:sz w:val="20"/>
        </w:rPr>
        <w:t xml:space="preserve">Für: </w:t>
      </w:r>
      <w:r>
        <w:rPr>
          <w:sz w:val="20"/>
        </w:rPr>
        <w:t>die Klägerin</w:t>
      </w:r>
    </w:p>
    <w:p>
      <w:pPr>
        <w:spacing w:after="40"/>
      </w:pPr>
      <w:r>
        <w:rPr>
          <w:b/>
          <w:sz w:val="20"/>
        </w:rPr>
        <w:t xml:space="preserve">Rechtsvertretung: </w:t>
      </w:r>
      <w:r>
        <w:rPr>
          <w:sz w:val="20"/>
        </w:rPr>
        <w:t>Adam Frith, Rechtsanwalt</w:t>
      </w:r>
    </w:p>
    <w:p/>
    <w:p>
      <w:r>
        <w:rPr>
          <w:b/>
          <w:color w:val="5B2A86"/>
          <w:sz w:val="24"/>
        </w:rPr>
        <w:t>1. Einleitung</w:t>
      </w:r>
    </w:p>
    <w:p>
      <w:pPr>
        <w:spacing w:after="120"/>
      </w:pPr>
      <w:r>
        <w:rPr>
          <w:sz w:val="22"/>
        </w:rPr>
        <w:t>Diese Notizen fassen die Ausführungen der Klägerin an der Hauptverhandlung zusammen. Gegenstand ist die Kündigung vom 14. März 2025.</w:t>
      </w:r>
    </w:p>
    <w:p>
      <w:pPr>
        <w:spacing w:after="120"/>
      </w:pPr>
      <w:r>
        <w:rPr>
          <w:sz w:val="22"/>
        </w:rPr>
        <w:t>Die zentrale Frage lautet: War die Reorganisation der wahre Kündigungsgrund, oder diente sie als Vorwand, um die Klägerin nach ihrem Mutterschaftsurlaub loszuwerden?</w:t>
      </w:r>
    </w:p>
    <w:p>
      <w:r>
        <w:rPr>
          <w:b/>
          <w:color w:val="5B2A86"/>
          <w:sz w:val="24"/>
        </w:rPr>
        <w:t>2. Streitfragen</w:t>
      </w:r>
    </w:p>
    <w:p>
      <w:pPr>
        <w:spacing w:after="120"/>
      </w:pPr>
      <w:r>
        <w:rPr>
          <w:sz w:val="22"/>
        </w:rPr>
        <w:t>(1) Fand tatsächlich eine Reorganisation statt? (2) Wurde die Klägerin bei der Aufgabenzuteilung und der Kündigung aufgrund ihres Geschlechts benachteiligt (Art. 3 GlG)? (3) Ist die Kündigung missbräuchlich (Art. 336 Abs. 1 lit. a OR)? (4) Wurde die Einsprache rechtzeitig erhoben (Art. 336b Abs. 1 OR)?</w:t>
      </w:r>
    </w:p>
    <w:p>
      <w:r>
        <w:rPr>
          <w:b/>
          <w:color w:val="5B2A86"/>
          <w:sz w:val="24"/>
        </w:rPr>
        <w:t>3. Rechtliches</w:t>
      </w:r>
    </w:p>
    <w:p>
      <w:pPr>
        <w:spacing w:after="120"/>
      </w:pPr>
      <w:r>
        <w:rPr>
          <w:sz w:val="22"/>
        </w:rPr>
        <w:t>Die Arbeitgeberin ist in der Kündigung grundsätzlich frei. Missbräuchlich ist eine Kündigung aber, wenn sie wegen einer Eigenschaft ausgesprochen wird, die der Arbeitnehmerin kraft ihrer Persönlichkeit zusteht (Art. 336 Abs. 1 lit. a OR); dazu gehören die Mutterschaft und familiäre Pflichten.</w:t>
      </w:r>
    </w:p>
    <w:p>
      <w:pPr>
        <w:spacing w:after="120"/>
      </w:pPr>
      <w:r>
        <w:rPr>
          <w:sz w:val="22"/>
        </w:rPr>
        <w:t>Bei der Aufgabenzuteilung und der Entlassung wird eine Diskriminierung vermutet, wenn sie glaubhaft gemacht ist (Art. 6 GlG). Die Beklagte muss dann beweisen, dass sachliche Gründe ohne jeden Zusammenhang mit dem Geschlecht den Ausschlag gaben.</w:t>
      </w:r>
    </w:p>
    <w:p>
      <w:r>
        <w:rPr>
          <w:b/>
          <w:color w:val="5B2A86"/>
          <w:sz w:val="24"/>
        </w:rPr>
        <w:t>4. Ausführungen</w:t>
      </w:r>
    </w:p>
    <w:p>
      <w:pPr>
        <w:spacing w:after="120"/>
      </w:pPr>
      <w:r>
        <w:rPr>
          <w:sz w:val="22"/>
        </w:rPr>
        <w:t>Eine Reorganisation fand nicht statt. Das Volumen blieb stabil, und Anfang 2025 kamen zwei neue Kunden hinzu. Die behauptete Umstrukturierung ist durch kein zeitnahes Dokument belegt.</w:t>
      </w:r>
    </w:p>
    <w:p>
      <w:pPr>
        <w:spacing w:after="120"/>
      </w:pPr>
      <w:r>
        <w:rPr>
          <w:sz w:val="22"/>
        </w:rPr>
        <w:t>Herr Thornton, als Stellvertretung während des Mutterschaftsurlaubs eingestellt, übt die Funktion der Klägerin weiterhin aus. «Leiterin Operations» und «Transportplanung» sind zwei Bezeichnungen für dieselbe Arbeit. Damit ist die Diskriminierung glaubhaft gemacht.</w:t>
      </w:r>
    </w:p>
    <w:p>
      <w:pPr>
        <w:spacing w:after="120"/>
      </w:pPr>
      <w:r>
        <w:rPr>
          <w:sz w:val="22"/>
        </w:rPr>
        <w:t>Die Gespräche waren eine Formsache; der Entscheid stand fest. Die Einsprache vom 14. April 2025 erfolgte rechtzeitig. Die Kündigung ist diskriminierend und missbräuchlich.</w:t>
      </w:r>
    </w:p>
    <w:p>
      <w:r>
        <w:rPr>
          <w:b/>
          <w:color w:val="5B2A86"/>
          <w:sz w:val="24"/>
        </w:rPr>
        <w:t>5. Schluss</w:t>
      </w:r>
    </w:p>
    <w:p>
      <w:pPr>
        <w:spacing w:after="120"/>
      </w:pPr>
      <w:r>
        <w:rPr>
          <w:sz w:val="22"/>
        </w:rPr>
        <w:t>Das Gericht wird ersucht, die Diskriminierung und die Missbräuchlichkeit der Kündigung festzustellen und das Verfahren mit der Bemessung der Entschädigung (Art. 5 Abs. 2 und 4 GlG) und der Genugtuung (Art. 49 OR) fortzusetzen.</w:t>
      </w:r>
    </w:p>
    <w:p/>
    <w:p>
      <w:r>
        <w:rPr>
          <w:b/>
          <w:sz w:val="22"/>
        </w:rPr>
        <w:t>Adam Frith, Rechtsanwalt</w:t>
      </w:r>
    </w:p>
    <w:p>
      <w:r>
        <w:rPr>
          <w:sz w:val="20"/>
        </w:rPr>
        <w:t>Aldridge Vine Rechtsanwälte AG, Zürich</w:t>
      </w:r>
    </w:p>
    <w:p>
      <w:r>
        <w:rPr>
          <w:sz w:val="20"/>
        </w:rPr>
        <w:t>Zürich, 30. Januar 2026</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12_Plaedoyernotizen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de-CH</dc:language>
</cp:coreProperties>
</file>