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00"/>
      </w:pPr>
      <w:r>
        <w:rPr>
          <w:rFonts w:ascii="Georgia" w:hAnsi="Georgia"/>
          <w:b/>
          <w:color w:val="B40000"/>
          <w:sz w:val="18"/>
          <w:u w:val="none"/>
        </w:rPr>
        <w:t>CONFIDENTIEL – SECRET PROFESSIONNEL</w:t>
      </w:r>
    </w:p>
    <w:p>
      <w:pPr>
        <w:spacing w:after="200" w:before="0"/>
      </w:pPr>
      <w:r>
        <w:rPr>
          <w:rFonts w:ascii="Georgia" w:hAnsi="Georgia"/>
          <w:b/>
          <w:color w:val="1A1A5E"/>
          <w:sz w:val="30"/>
          <w:u w:val="none"/>
        </w:rPr>
        <w:t>MÉMORANDUM INTERNE</w:t>
      </w:r>
    </w:p>
    <w:tbl>
      <w:tblPr>
        <w:tblW w:type="auto" w:w="0"/>
        <w:jc w:val="left"/>
        <w:tblLayout w:type="fixed"/>
        <w:tblLook w:firstColumn="1" w:firstRow="1" w:lastColumn="0" w:lastRow="0" w:noHBand="0" w:noVBand="1" w:val="04A0"/>
      </w:tblPr>
      <w:tblGrid>
        <w:gridCol w:w="1361"/>
        <w:gridCol w:w="7710"/>
      </w:tblGrid>
      <w:tr>
        <w:tc>
          <w:tcPr>
            <w:tcW w:type="dxa" w:w="1361"/>
          </w:tcPr>
          <w:p>
            <w:pPr>
              <w:spacing w:after="40"/>
            </w:pPr>
            <w:r>
              <w:rPr>
                <w:rFonts w:ascii="Georgia" w:hAnsi="Georgia"/>
                <w:b/>
                <w:sz w:val="20"/>
              </w:rPr>
              <w:t>À:</w:t>
            </w:r>
          </w:p>
        </w:tc>
        <w:tc>
          <w:tcPr>
            <w:tcW w:type="dxa" w:w="7710"/>
          </w:tcPr>
          <w:p>
            <w:pPr>
              <w:spacing w:after="40"/>
            </w:pPr>
            <w:r>
              <w:rPr>
                <w:rFonts w:ascii="Georgia" w:hAnsi="Georgia"/>
                <w:b w:val="0"/>
                <w:sz w:val="20"/>
              </w:rPr>
              <w:t>Adam Frith, associé, droit du travail</w:t>
            </w:r>
          </w:p>
        </w:tc>
      </w:tr>
      <w:tr>
        <w:tc>
          <w:tcPr>
            <w:tcW w:type="dxa" w:w="1361"/>
          </w:tcPr>
          <w:p>
            <w:pPr>
              <w:spacing w:after="40"/>
            </w:pPr>
            <w:r>
              <w:rPr>
                <w:rFonts w:ascii="Georgia" w:hAnsi="Georgia"/>
                <w:b/>
                <w:sz w:val="20"/>
              </w:rPr>
              <w:t>De:</w:t>
            </w:r>
          </w:p>
        </w:tc>
        <w:tc>
          <w:tcPr>
            <w:tcW w:type="dxa" w:w="7710"/>
          </w:tcPr>
          <w:p>
            <w:pPr>
              <w:spacing w:after="40"/>
            </w:pPr>
            <w:r>
              <w:rPr>
                <w:rFonts w:ascii="Georgia" w:hAnsi="Georgia"/>
                <w:b w:val="0"/>
                <w:sz w:val="20"/>
              </w:rPr>
              <w:t>Rosalind Keane, avocate stagiaire</w:t>
            </w:r>
          </w:p>
        </w:tc>
      </w:tr>
      <w:tr>
        <w:tc>
          <w:tcPr>
            <w:tcW w:type="dxa" w:w="1361"/>
          </w:tcPr>
          <w:p>
            <w:pPr>
              <w:spacing w:after="40"/>
            </w:pPr>
            <w:r>
              <w:rPr>
                <w:rFonts w:ascii="Georgia" w:hAnsi="Georgia"/>
                <w:b/>
                <w:sz w:val="20"/>
              </w:rPr>
              <w:t>Date:</w:t>
            </w:r>
          </w:p>
        </w:tc>
        <w:tc>
          <w:tcPr>
            <w:tcW w:type="dxa" w:w="7710"/>
          </w:tcPr>
          <w:p>
            <w:pPr>
              <w:spacing w:after="40"/>
            </w:pPr>
            <w:r>
              <w:rPr>
                <w:rFonts w:ascii="Georgia" w:hAnsi="Georgia"/>
                <w:b w:val="0"/>
                <w:sz w:val="20"/>
              </w:rPr>
              <w:t>16 avril 2025</w:t>
            </w:r>
          </w:p>
        </w:tc>
      </w:tr>
      <w:tr>
        <w:tc>
          <w:tcPr>
            <w:tcW w:type="dxa" w:w="1361"/>
          </w:tcPr>
          <w:p>
            <w:pPr>
              <w:spacing w:after="40"/>
            </w:pPr>
            <w:r>
              <w:rPr>
                <w:rFonts w:ascii="Georgia" w:hAnsi="Georgia"/>
                <w:b/>
                <w:sz w:val="20"/>
              </w:rPr>
              <w:t>Mandat:</w:t>
            </w:r>
          </w:p>
        </w:tc>
        <w:tc>
          <w:tcPr>
            <w:tcW w:type="dxa" w:w="7710"/>
          </w:tcPr>
          <w:p>
            <w:pPr>
              <w:spacing w:after="40"/>
            </w:pPr>
            <w:r>
              <w:rPr>
                <w:rFonts w:ascii="Georgia" w:hAnsi="Georgia"/>
                <w:b w:val="0"/>
                <w:sz w:val="20"/>
              </w:rPr>
              <w:t>Nair / Calderdale Logistique SA (notre réf. AV/HR/NAIR/0318)</w:t>
            </w:r>
          </w:p>
        </w:tc>
      </w:tr>
      <w:tr>
        <w:tc>
          <w:tcPr>
            <w:tcW w:type="dxa" w:w="1361"/>
          </w:tcPr>
          <w:p>
            <w:pPr>
              <w:spacing w:after="40"/>
            </w:pPr>
            <w:r>
              <w:rPr>
                <w:rFonts w:ascii="Georgia" w:hAnsi="Georgia"/>
                <w:b/>
                <w:sz w:val="20"/>
              </w:rPr>
              <w:t>Concerne:</w:t>
            </w:r>
          </w:p>
        </w:tc>
        <w:tc>
          <w:tcPr>
            <w:tcW w:type="dxa" w:w="7710"/>
          </w:tcPr>
          <w:p>
            <w:pPr>
              <w:spacing w:after="40"/>
            </w:pPr>
            <w:r>
              <w:rPr>
                <w:rFonts w:ascii="Georgia" w:hAnsi="Georgia"/>
                <w:b w:val="0"/>
                <w:sz w:val="20"/>
              </w:rPr>
              <w:t>Première appréciation des prétentions liées au licenciement</w:t>
            </w:r>
          </w:p>
        </w:tc>
      </w:tr>
    </w:tbl>
    <w:p>
      <w:pPr>
        <w:pBdr>
          <w:bottom w:val="single" w:sz="8" w:space="4" w:color="1A1A5E"/>
        </w:pBdr>
      </w:pPr>
    </w:p>
    <w:p>
      <w:pPr>
        <w:spacing w:after="80" w:before="240"/>
      </w:pPr>
      <w:r>
        <w:rPr>
          <w:rFonts w:ascii="Georgia" w:hAnsi="Georgia"/>
          <w:b/>
          <w:color w:val="1A1A5E"/>
          <w:sz w:val="23"/>
          <w:u w:val="none"/>
        </w:rPr>
        <w:t>Faits</w:t>
      </w:r>
    </w:p>
    <w:p>
      <w:pPr>
        <w:spacing w:after="160" w:before="0"/>
      </w:pPr>
      <w:r>
        <w:rPr>
          <w:rFonts w:ascii="Georgia" w:hAnsi="Georgia"/>
          <w:b w:val="0"/>
          <w:sz w:val="22"/>
          <w:u w:val="none"/>
        </w:rPr>
        <w:t>Notre cliente, Mme Priya Nair, travaille depuis sept ans comme responsable des opérations chez Calderdale Logistique SA. Après la naissance de son fils le 19 mai 2024, elle a pris son congé de maternité, puis un congé non payé convenu; elle a repris le travail le 13 janvier 2025. Elle a alors constaté que son remplaçant était resté en poste et que les tâches essentielles de la responsable des opérations avaient été réattribuées.</w:t>
      </w:r>
    </w:p>
    <w:p>
      <w:pPr>
        <w:spacing w:after="160" w:before="0"/>
      </w:pPr>
      <w:r>
        <w:rPr>
          <w:rFonts w:ascii="Georgia" w:hAnsi="Georgia"/>
          <w:b w:val="0"/>
          <w:sz w:val="22"/>
          <w:u w:val="none"/>
        </w:rPr>
        <w:t>L'employeur a mené deux entretiens en février et mars 2025 et a résilié le contrat par lettre du 14 mars 2025, pour le 31 mai 2025, en invoquant une réorganisation; Mme Nair est libérée de son obligation de travailler. Le premier entretien à notre étude a eu lieu le 10 avril 2025; l'opposition a été formée le 14 avril 2025.</w:t>
      </w:r>
    </w:p>
    <w:p>
      <w:pPr>
        <w:spacing w:after="80" w:before="240"/>
      </w:pPr>
      <w:r>
        <w:rPr>
          <w:rFonts w:ascii="Georgia" w:hAnsi="Georgia"/>
          <w:b/>
          <w:color w:val="1A1A5E"/>
          <w:sz w:val="23"/>
          <w:u w:val="none"/>
        </w:rPr>
        <w:t>Questions</w:t>
      </w:r>
    </w:p>
    <w:p>
      <w:pPr>
        <w:spacing w:after="160" w:before="0"/>
      </w:pPr>
      <w:r>
        <w:rPr>
          <w:rFonts w:ascii="Georgia" w:hAnsi="Georgia"/>
          <w:b w:val="0"/>
          <w:sz w:val="22"/>
          <w:u w:val="none"/>
        </w:rPr>
        <w:t>Premièrement, s'il y a réellement eu une réorganisation ou si une fonction qui subsiste entre les mains du remplaçant a seulement été déclarée supprimée. Deuxièmement, si le licenciement et la réattribution des tâches discriminent la cliente à raison du sexe (art. 3 LEg). Troisièmement, si le congé est abusif (art. 336 al. 1 let. a CO). Quatrièmement, les délais de l'art. 336b CO et la procédure de conciliation.</w:t>
      </w:r>
    </w:p>
    <w:p>
      <w:pPr>
        <w:spacing w:after="80" w:before="240"/>
      </w:pPr>
      <w:r>
        <w:rPr>
          <w:rFonts w:ascii="Georgia" w:hAnsi="Georgia"/>
          <w:b/>
          <w:color w:val="1A1A5E"/>
          <w:sz w:val="23"/>
          <w:u w:val="none"/>
        </w:rPr>
        <w:t>Analyse</w:t>
      </w:r>
    </w:p>
    <w:p>
      <w:pPr>
        <w:spacing w:after="160" w:before="0"/>
      </w:pPr>
      <w:r>
        <w:rPr>
          <w:rFonts w:ascii="Georgia" w:hAnsi="Georgia"/>
          <w:b w:val="0"/>
          <w:sz w:val="22"/>
          <w:u w:val="none"/>
        </w:rPr>
        <w:t>La protection de l'art. 336c al. 1 let. c CO ne s'applique pas, car la période de 16 semaines suivant l'accouchement a pris fin en septembre 2024; le congé est valable. Il s'agit donc d'une indemnité, et non d'une réintégration (art. 5 al. 2 LEg). Le point décisif est que le remplaçant engagé pendant le congé de maternité exerce la même fonction; cela doit être vérifié à l'aide des organigrammes, des descriptions de poste et des procès-verbaux d'entretien de l'employeur.</w:t>
      </w:r>
    </w:p>
    <w:p>
      <w:pPr>
        <w:spacing w:after="160" w:before="0"/>
      </w:pPr>
      <w:r>
        <w:rPr>
          <w:rFonts w:ascii="Georgia" w:hAnsi="Georgia"/>
          <w:b w:val="0"/>
          <w:sz w:val="22"/>
          <w:u w:val="none"/>
        </w:rPr>
        <w:t>Si la discrimination est rendue vraisemblable, elle est présumée (art. 6 LEg) et l'employeur doit prouver des motifs objectifs. L'indemnité s'élève au maximum à six mois de salaire (art. 5 al. 4 LEg); les prétentions en réparation morale sont réservées (art. 5 al. 5 LEg, art. 49 CO). La prétention fondée sur l'art. 336a CO doit être examinée à titre subsidiaire; elle ne donne pas droit à une seconde indemnité pour les mêmes faits.</w:t>
      </w:r>
    </w:p>
    <w:p>
      <w:pPr>
        <w:spacing w:after="160" w:before="0"/>
      </w:pPr>
      <w:r>
        <w:rPr>
          <w:rFonts w:ascii="Georgia" w:hAnsi="Georgia"/>
          <w:b w:val="0"/>
          <w:sz w:val="22"/>
          <w:u w:val="none"/>
        </w:rPr>
        <w:t>S'agissant des délais: l'opposition a été formée. L'action doit être introduite dans les 180 jours à compter de la fin des rapports de travail, soit jusqu'au 27 novembre 2025 (art. 336b al. 2 CO); la requête de conciliation auprès de l'autorité de conciliation en matière d'égalité suffit (art. 197 et 200 al. 2 CPC). Il n'est pas perçu de frais judiciaires (art. 113 al. 2 let. a et art. 114 let. a CPC).</w:t>
      </w:r>
    </w:p>
    <w:p>
      <w:pPr>
        <w:spacing w:after="80" w:before="240"/>
      </w:pPr>
      <w:r>
        <w:rPr>
          <w:rFonts w:ascii="Georgia" w:hAnsi="Georgia"/>
          <w:b/>
          <w:color w:val="1A1A5E"/>
          <w:sz w:val="23"/>
          <w:u w:val="none"/>
        </w:rPr>
        <w:t>Recommandation</w:t>
      </w:r>
    </w:p>
    <w:p>
      <w:pPr>
        <w:spacing w:after="160" w:before="0"/>
      </w:pPr>
      <w:r>
        <w:rPr>
          <w:rFonts w:ascii="Georgia" w:hAnsi="Georgia"/>
          <w:b w:val="0"/>
          <w:sz w:val="22"/>
          <w:u w:val="none"/>
        </w:rPr>
        <w:t>Obtenir de la cliente le contrat de travail, les fiches de salaire, les entretiens d'évaluation et toute la correspondance, puis établir une chronologie et un premier récapitulatif des prétentions. Déposer la requête de conciliation dès réception des documents, au plus tard en juin 2025. Ne conseiller la cliente sur les frais et les chances de succès qu'après examen des documents, et faire rapport à l'associé avant tout courrier à l'employeur ou à son conseil.</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Avocats SA, Maison Minerva, rue du Rhône 29, 1204 Genève. Les avocates et avocats sont inscrits au registre cantonal des avocats de Genève et soumis au secret professionnel (art. 13 LLCA).</w:t>
    </w:r>
  </w:p>
  <w:p>
    <w:pPr>
      <w:spacing w:after="0"/>
      <w:jc w:val="center"/>
    </w:pPr>
    <w:r>
      <w:rPr>
        <w:rFonts w:ascii="Georgia" w:hAnsi="Georgia"/>
        <w:color w:val="666666"/>
        <w:sz w:val="14"/>
      </w:rPr>
      <w:t xml:space="preserve">Page </w:t>
    </w:r>
    <w:r>
      <w:rPr>
        <w:rFonts w:ascii="Georgia" w:hAnsi="Georgia"/>
        <w:color w:val="666666"/>
        <w:sz w:val="14"/>
      </w:rPr>
      <w:t>1</w:t>
    </w:r>
    <w:r>
      <w:rPr>
        <w:rFonts w:ascii="Georgia" w:hAnsi="Georgia"/>
        <w:color w:val="666666"/>
        <w:sz w:val="14"/>
      </w:rPr>
      <w:t xml:space="preserve"> sur </w:t>
    </w:r>
    <w:r>
      <w:rPr>
        <w:rFonts w:ascii="Georgia" w:hAnsi="Georgia"/>
        <w:color w:val="666666"/>
        <w:sz w:val="14"/>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Maison Minerva, rue du Rhône 29, 1204 Genève   |   T 022 346 88 00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Aldridge_Vine_Modele_de_memo</dc:title>
  <dc:subject>Fictional house-style example document for Andri knowledge base use</dc:subject>
  <dc:creator>Aldridge Vine LLP</dc:creator>
  <cp:keywords/>
  <dc:description/>
  <cp:lastModifiedBy/>
  <cp:revision>1</cp:revision>
  <dcterms:created xsi:type="dcterms:W3CDTF">2025-04-16T11:00:00Z</dcterms:created>
  <dcterms:modified xsi:type="dcterms:W3CDTF">2025-04-16T11:00:00Z</dcterms:modified>
  <cp:category/>
  <dc:language>fr-CH</dc:language>
</cp:coreProperties>
</file>