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18"/>
        </w:rPr>
        <w:t>TRIBUNAL DES PRUD'HOMMES DE GENÈVE, GROUPE 4</w:t>
      </w:r>
    </w:p>
    <w:p>
      <w:pPr>
        <w:jc w:val="right"/>
      </w:pPr>
      <w:r>
        <w:rPr>
          <w:b/>
          <w:sz w:val="18"/>
        </w:rPr>
        <w:t>Cause n° C/18542/2025-4</w:t>
      </w:r>
    </w:p>
    <w:p>
      <w:pPr>
        <w:jc w:val="right"/>
      </w:pPr>
      <w:r>
        <w:rPr>
          <w:sz w:val="18"/>
        </w:rPr>
        <w:t>PRIYA NAIR (demanderesse)</w:t>
      </w:r>
    </w:p>
    <w:p>
      <w:pPr>
        <w:jc w:val="right"/>
      </w:pPr>
      <w:r>
        <w:rPr>
          <w:sz w:val="18"/>
        </w:rPr>
        <w:t>CALDERDALE LOGISTIQUE SA (défenderesse)</w:t>
      </w:r>
    </w:p>
    <w:p>
      <w:pPr>
        <w:jc w:val="center"/>
        <w:pBdr>
          <w:bottom w:val="single" w:sz="12" w:space="1" w:color="5B2A86"/>
        </w:pBdr>
      </w:pPr>
      <w:r>
        <w:rPr>
          <w:b/>
          <w:color w:val="5B2A86"/>
          <w:sz w:val="26"/>
        </w:rPr>
        <w:t>NOTES DE PLAIDOIRIE DE LA DEMANDERESSE</w:t>
      </w:r>
    </w:p>
    <w:p>
      <w:pPr>
        <w:spacing w:after="40"/>
      </w:pPr>
      <w:r>
        <w:rPr>
          <w:b/>
          <w:sz w:val="20"/>
        </w:rPr>
        <w:t xml:space="preserve">Audience de débats principaux: </w:t>
      </w:r>
      <w:r>
        <w:rPr>
          <w:sz w:val="20"/>
        </w:rPr>
        <w:t>10 février 2026</w:t>
      </w:r>
    </w:p>
    <w:p>
      <w:pPr>
        <w:spacing w:after="40"/>
      </w:pPr>
      <w:r>
        <w:rPr>
          <w:b/>
          <w:sz w:val="20"/>
        </w:rPr>
        <w:t xml:space="preserve">Procédure: </w:t>
      </w:r>
      <w:r>
        <w:rPr>
          <w:sz w:val="20"/>
        </w:rPr>
        <w:t>limitée au principe de la responsabilité (art. 125 let. a CPC)</w:t>
      </w:r>
    </w:p>
    <w:p>
      <w:pPr>
        <w:spacing w:after="40"/>
      </w:pPr>
      <w:r>
        <w:rPr>
          <w:b/>
          <w:sz w:val="20"/>
        </w:rPr>
        <w:t xml:space="preserve">Pour: </w:t>
      </w:r>
      <w:r>
        <w:rPr>
          <w:sz w:val="20"/>
        </w:rPr>
        <w:t>la demanderesse</w:t>
      </w:r>
    </w:p>
    <w:p>
      <w:pPr>
        <w:spacing w:after="40"/>
      </w:pPr>
      <w:r>
        <w:rPr>
          <w:b/>
          <w:sz w:val="20"/>
        </w:rPr>
        <w:t xml:space="preserve">Conseil: </w:t>
      </w:r>
      <w:r>
        <w:rPr>
          <w:sz w:val="20"/>
        </w:rPr>
        <w:t>Me Adam Frith, avocat</w:t>
      </w:r>
    </w:p>
    <w:p/>
    <w:p>
      <w:r>
        <w:rPr>
          <w:b/>
          <w:color w:val="5B2A86"/>
          <w:sz w:val="24"/>
        </w:rPr>
        <w:t>1. Introduction</w:t>
      </w:r>
    </w:p>
    <w:p>
      <w:pPr>
        <w:spacing w:after="120"/>
      </w:pPr>
      <w:r>
        <w:rPr>
          <w:sz w:val="22"/>
        </w:rPr>
        <w:t>Ces notes résument la plaidoirie de la demanderesse lors de l'audience de débats principaux. Elles portent sur le congé du 14 mars 2025.</w:t>
      </w:r>
    </w:p>
    <w:p>
      <w:pPr>
        <w:spacing w:after="120"/>
      </w:pPr>
      <w:r>
        <w:rPr>
          <w:sz w:val="22"/>
        </w:rPr>
        <w:t>La question centrale est la suivante: la réorganisation était-elle le véritable motif du congé, ou un prétexte pour se séparer de la demanderesse après son congé de maternité?</w:t>
      </w:r>
    </w:p>
    <w:p>
      <w:r>
        <w:rPr>
          <w:b/>
          <w:color w:val="5B2A86"/>
          <w:sz w:val="24"/>
        </w:rPr>
        <w:t>2. Questions litigieuses</w:t>
      </w:r>
    </w:p>
    <w:p>
      <w:pPr>
        <w:spacing w:after="120"/>
      </w:pPr>
      <w:r>
        <w:rPr>
          <w:sz w:val="22"/>
        </w:rPr>
        <w:t>(1) Y a-t-il réellement eu une réorganisation? (2) La demanderesse a-t-elle été discriminée à raison du sexe dans l'attribution des tâches et dans la résiliation (art. 3 LEg)? (3) Le congé est-il abusif (art. 336 al. 1 let. a CO)? (4) L'opposition a-t-elle été formée à temps (art. 336b al. 1 CO)?</w:t>
      </w:r>
    </w:p>
    <w:p>
      <w:r>
        <w:rPr>
          <w:b/>
          <w:color w:val="5B2A86"/>
          <w:sz w:val="24"/>
        </w:rPr>
        <w:t>3. En droit</w:t>
      </w:r>
    </w:p>
    <w:p>
      <w:pPr>
        <w:spacing w:after="120"/>
      </w:pPr>
      <w:r>
        <w:rPr>
          <w:sz w:val="22"/>
        </w:rPr>
        <w:t>L'employeur est en principe libre de résilier le contrat. Le congé est toutefois abusif lorsqu'il est donné pour une raison inhérente à la personnalité de la travailleuse (art. 336 al. 1 let. a CO); la maternité et les obligations familiales en font partie.</w:t>
      </w:r>
    </w:p>
    <w:p>
      <w:pPr>
        <w:spacing w:after="120"/>
      </w:pPr>
      <w:r>
        <w:rPr>
          <w:sz w:val="22"/>
        </w:rPr>
        <w:t>Dans l'attribution des tâches et la résiliation des rapports de travail, la discrimination est présumée dès qu'elle est rendue vraisemblable (art. 6 LEg). La défenderesse doit alors prouver que des motifs objectifs, sans aucun lien avec le sexe, ont été déterminants.</w:t>
      </w:r>
    </w:p>
    <w:p>
      <w:r>
        <w:rPr>
          <w:b/>
          <w:color w:val="5B2A86"/>
          <w:sz w:val="24"/>
        </w:rPr>
        <w:t>4. Argumentation</w:t>
      </w:r>
    </w:p>
    <w:p>
      <w:pPr>
        <w:spacing w:after="120"/>
      </w:pPr>
      <w:r>
        <w:rPr>
          <w:sz w:val="22"/>
        </w:rPr>
        <w:t>Il n'y a pas eu de réorganisation. Le volume est resté stable et deux nouveaux clients ont été acquis début 2025. La restructuration alléguée n'est étayée par aucun document contemporain.</w:t>
      </w:r>
    </w:p>
    <w:p>
      <w:pPr>
        <w:spacing w:after="120"/>
      </w:pPr>
      <w:r>
        <w:rPr>
          <w:sz w:val="22"/>
        </w:rPr>
        <w:t>M. Thornton, engagé comme remplaçant pendant le congé de maternité, continue d'exercer la fonction de la demanderesse. « Responsable des opérations » et « planification des transports » désignent le même travail. La discrimination est ainsi rendue vraisemblable.</w:t>
      </w:r>
    </w:p>
    <w:p>
      <w:pPr>
        <w:spacing w:after="120"/>
      </w:pPr>
      <w:r>
        <w:rPr>
          <w:sz w:val="22"/>
        </w:rPr>
        <w:t>Les entretiens n'étaient qu'une formalité; la décision était prise. L'opposition du 14 avril 2025 a été formée à temps. Le congé est discriminatoire et abusif.</w:t>
      </w:r>
    </w:p>
    <w:p>
      <w:r>
        <w:rPr>
          <w:b/>
          <w:color w:val="5B2A86"/>
          <w:sz w:val="24"/>
        </w:rPr>
        <w:t>5. Conclusion</w:t>
      </w:r>
    </w:p>
    <w:p>
      <w:pPr>
        <w:spacing w:after="120"/>
      </w:pPr>
      <w:r>
        <w:rPr>
          <w:sz w:val="22"/>
        </w:rPr>
        <w:t>Le Tribunal est invité à constater le caractère discriminatoire et abusif du congé et à poursuivre la procédure par la fixation de l'indemnité (art. 5 al. 2 et 4 LEg) et de la réparation morale (art. 49 CO).</w:t>
      </w:r>
    </w:p>
    <w:p/>
    <w:p>
      <w:r>
        <w:rPr>
          <w:b/>
          <w:sz w:val="22"/>
        </w:rPr>
        <w:t>Me Adam Frith, avocat</w:t>
      </w:r>
    </w:p>
    <w:p>
      <w:r>
        <w:rPr>
          <w:sz w:val="20"/>
        </w:rPr>
        <w:t>Aldridge Vine Avocats SA, Genève</w:t>
      </w:r>
    </w:p>
    <w:p>
      <w:r>
        <w:rPr>
          <w:sz w:val="20"/>
        </w:rPr>
        <w:t>Genève, le 30 janvier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12_Notes_de_plaidoirie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fr-CH</dc:language>
</cp:coreProperties>
</file>