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pPr>
      <w:r>
        <w:rPr>
          <w:rFonts w:ascii="Georgia" w:hAnsi="Georgia"/>
          <w:b/>
          <w:color w:val="B40000"/>
          <w:sz w:val="18"/>
          <w:u w:val="none"/>
        </w:rPr>
        <w:t>VERTROUWELIJK</w:t>
      </w:r>
    </w:p>
    <w:p>
      <w:pPr>
        <w:spacing w:after="200" w:before="0"/>
      </w:pPr>
      <w:r>
        <w:rPr>
          <w:rFonts w:ascii="Georgia" w:hAnsi="Georgia"/>
          <w:b/>
          <w:color w:val="1A1A5E"/>
          <w:sz w:val="30"/>
          <w:u w:val="none"/>
        </w:rPr>
        <w:t>INTERN MEMO</w:t>
      </w:r>
    </w:p>
    <w:tbl>
      <w:tblPr>
        <w:tblW w:type="auto" w:w="0"/>
        <w:jc w:val="left"/>
        <w:tblLayout w:type="fixed"/>
        <w:tblLook w:firstColumn="1" w:firstRow="1" w:lastColumn="0" w:lastRow="0" w:noHBand="0" w:noVBand="1" w:val="04A0"/>
      </w:tblPr>
      <w:tblGrid>
        <w:gridCol w:w="1361"/>
        <w:gridCol w:w="7710"/>
      </w:tblGrid>
      <w:tr>
        <w:tc>
          <w:tcPr>
            <w:tcW w:type="dxa" w:w="1361"/>
          </w:tcPr>
          <w:p>
            <w:pPr>
              <w:spacing w:after="40"/>
            </w:pPr>
            <w:r>
              <w:rPr>
                <w:rFonts w:ascii="Georgia" w:hAnsi="Georgia"/>
                <w:b/>
                <w:sz w:val="20"/>
              </w:rPr>
              <w:t>Aan:</w:t>
            </w:r>
          </w:p>
        </w:tc>
        <w:tc>
          <w:tcPr>
            <w:tcW w:type="dxa" w:w="7710"/>
          </w:tcPr>
          <w:p>
            <w:pPr>
              <w:spacing w:after="40"/>
            </w:pPr>
            <w:r>
              <w:rPr>
                <w:rFonts w:ascii="Georgia" w:hAnsi="Georgia"/>
                <w:b w:val="0"/>
                <w:sz w:val="20"/>
              </w:rPr>
              <w:t>mr. A. Frith, partner arbeidsrecht</w:t>
            </w:r>
          </w:p>
        </w:tc>
      </w:tr>
      <w:tr>
        <w:tc>
          <w:tcPr>
            <w:tcW w:type="dxa" w:w="1361"/>
          </w:tcPr>
          <w:p>
            <w:pPr>
              <w:spacing w:after="40"/>
            </w:pPr>
            <w:r>
              <w:rPr>
                <w:rFonts w:ascii="Georgia" w:hAnsi="Georgia"/>
                <w:b/>
                <w:sz w:val="20"/>
              </w:rPr>
              <w:t>Van:</w:t>
            </w:r>
          </w:p>
        </w:tc>
        <w:tc>
          <w:tcPr>
            <w:tcW w:type="dxa" w:w="7710"/>
          </w:tcPr>
          <w:p>
            <w:pPr>
              <w:spacing w:after="40"/>
            </w:pPr>
            <w:r>
              <w:rPr>
                <w:rFonts w:ascii="Georgia" w:hAnsi="Georgia"/>
                <w:b w:val="0"/>
                <w:sz w:val="20"/>
              </w:rPr>
              <w:t>mr. R. Keane, advocaat-stagiaire</w:t>
            </w:r>
          </w:p>
        </w:tc>
      </w:tr>
      <w:tr>
        <w:tc>
          <w:tcPr>
            <w:tcW w:type="dxa" w:w="1361"/>
          </w:tcPr>
          <w:p>
            <w:pPr>
              <w:spacing w:after="40"/>
            </w:pPr>
            <w:r>
              <w:rPr>
                <w:rFonts w:ascii="Georgia" w:hAnsi="Georgia"/>
                <w:b/>
                <w:sz w:val="20"/>
              </w:rPr>
              <w:t>Datum:</w:t>
            </w:r>
          </w:p>
        </w:tc>
        <w:tc>
          <w:tcPr>
            <w:tcW w:type="dxa" w:w="7710"/>
          </w:tcPr>
          <w:p>
            <w:pPr>
              <w:spacing w:after="40"/>
            </w:pPr>
            <w:r>
              <w:rPr>
                <w:rFonts w:ascii="Georgia" w:hAnsi="Georgia"/>
                <w:b w:val="0"/>
                <w:sz w:val="20"/>
              </w:rPr>
              <w:t>16 april 2025</w:t>
            </w:r>
          </w:p>
        </w:tc>
      </w:tr>
      <w:tr>
        <w:tc>
          <w:tcPr>
            <w:tcW w:type="dxa" w:w="1361"/>
          </w:tcPr>
          <w:p>
            <w:pPr>
              <w:spacing w:after="40"/>
            </w:pPr>
            <w:r>
              <w:rPr>
                <w:rFonts w:ascii="Georgia" w:hAnsi="Georgia"/>
                <w:b/>
                <w:sz w:val="20"/>
              </w:rPr>
              <w:t>Kenmerk:</w:t>
            </w:r>
          </w:p>
        </w:tc>
        <w:tc>
          <w:tcPr>
            <w:tcW w:type="dxa" w:w="7710"/>
          </w:tcPr>
          <w:p>
            <w:pPr>
              <w:spacing w:after="40"/>
            </w:pPr>
            <w:r>
              <w:rPr>
                <w:rFonts w:ascii="Georgia" w:hAnsi="Georgia"/>
                <w:b w:val="0"/>
                <w:sz w:val="20"/>
              </w:rPr>
              <w:t>Nair / Calderdale Logistiek B.V. (AV/HR/NAIR/0318)</w:t>
            </w:r>
          </w:p>
        </w:tc>
      </w:tr>
      <w:tr>
        <w:tc>
          <w:tcPr>
            <w:tcW w:type="dxa" w:w="1361"/>
          </w:tcPr>
          <w:p>
            <w:pPr>
              <w:spacing w:after="40"/>
            </w:pPr>
            <w:r>
              <w:rPr>
                <w:rFonts w:ascii="Georgia" w:hAnsi="Georgia"/>
                <w:b/>
                <w:sz w:val="20"/>
              </w:rPr>
              <w:t>Betreft:</w:t>
            </w:r>
          </w:p>
        </w:tc>
        <w:tc>
          <w:tcPr>
            <w:tcW w:type="dxa" w:w="7710"/>
          </w:tcPr>
          <w:p>
            <w:pPr>
              <w:spacing w:after="40"/>
            </w:pPr>
            <w:r>
              <w:rPr>
                <w:rFonts w:ascii="Georgia" w:hAnsi="Georgia"/>
                <w:b w:val="0"/>
                <w:sz w:val="20"/>
              </w:rPr>
              <w:t>Eerste beoordeling van de ontslagzaak</w:t>
            </w:r>
          </w:p>
        </w:tc>
      </w:tr>
    </w:tbl>
    <w:p>
      <w:pPr>
        <w:pBdr>
          <w:bottom w:val="single" w:sz="8" w:space="4" w:color="1A1A5E"/>
        </w:pBdr>
      </w:pPr>
    </w:p>
    <w:p>
      <w:pPr>
        <w:spacing w:after="80" w:before="240"/>
      </w:pPr>
      <w:r>
        <w:rPr>
          <w:rFonts w:ascii="Georgia" w:hAnsi="Georgia"/>
          <w:b/>
          <w:color w:val="1A1A5E"/>
          <w:sz w:val="23"/>
          <w:u w:val="none"/>
        </w:rPr>
        <w:t>Feiten</w:t>
      </w:r>
    </w:p>
    <w:p>
      <w:pPr>
        <w:spacing w:after="160" w:before="0"/>
      </w:pPr>
      <w:r>
        <w:rPr>
          <w:rFonts w:ascii="Georgia" w:hAnsi="Georgia"/>
          <w:b w:val="0"/>
          <w:sz w:val="22"/>
          <w:u w:val="none"/>
        </w:rPr>
        <w:t>Onze cliënte, mevrouw Priya Nair, werkt sinds zeven jaar als operationeel manager bij Calderdale Logistiek B.V. Na de geboorte van haar zoon op 19 mei 2024 genoot zij bevallingsverlof en aansluitend onbetaald ouderschapsverlof; op 13 januari 2025 keerde zij terug. Haar vervanger bleek in functie te zijn gebleven en de kerntaken van de operationeel manager waren herverdeeld.</w:t>
      </w:r>
    </w:p>
    <w:p>
      <w:pPr>
        <w:spacing w:after="160" w:before="0"/>
      </w:pPr>
      <w:r>
        <w:rPr>
          <w:rFonts w:ascii="Georgia" w:hAnsi="Georgia"/>
          <w:b w:val="0"/>
          <w:sz w:val="22"/>
          <w:u w:val="none"/>
        </w:rPr>
        <w:t>De werkgever vroeg op 18 februari 2025 het UWV om toestemming voor opzegging wegens bedrijfseconomische redenen, voerde gesprekken op 24 februari en 7 maart 2025 en zegde na toestemming van 12 maart 2025 op tegen 31 mei 2025. Mevrouw Nair is vrijgesteld van werk. Het intakegesprek op ons kantoor vond plaats op 10 april 2025.</w:t>
      </w:r>
    </w:p>
    <w:p>
      <w:pPr>
        <w:spacing w:after="80" w:before="240"/>
      </w:pPr>
      <w:r>
        <w:rPr>
          <w:rFonts w:ascii="Georgia" w:hAnsi="Georgia"/>
          <w:b/>
          <w:color w:val="1A1A5E"/>
          <w:sz w:val="23"/>
          <w:u w:val="none"/>
        </w:rPr>
        <w:t>Vraagpunten</w:t>
      </w:r>
    </w:p>
    <w:p>
      <w:pPr>
        <w:spacing w:after="160" w:before="0"/>
      </w:pPr>
      <w:r>
        <w:rPr>
          <w:rFonts w:ascii="Georgia" w:hAnsi="Georgia"/>
          <w:b w:val="0"/>
          <w:sz w:val="22"/>
          <w:u w:val="none"/>
        </w:rPr>
        <w:t>Ten eerste: is er werkelijk een arbeidsplaats vervallen, of is een functie die bij de vervanger voortbestaat alleen zo genoemd? Ten tweede: is de opzegging in strijd met artikel 7:646 BW? Ten derde: heeft de werkgever ernstig verwijtbaar gehandeld (artikel 7:682 lid 1 sub b BW)? Ten vierde: de termijn van artikel 7:686a BW.</w:t>
      </w:r>
    </w:p>
    <w:p>
      <w:pPr>
        <w:spacing w:after="80" w:before="240"/>
      </w:pPr>
      <w:r>
        <w:rPr>
          <w:rFonts w:ascii="Georgia" w:hAnsi="Georgia"/>
          <w:b/>
          <w:color w:val="1A1A5E"/>
          <w:sz w:val="23"/>
          <w:u w:val="none"/>
        </w:rPr>
        <w:t>Analyse</w:t>
      </w:r>
    </w:p>
    <w:p>
      <w:pPr>
        <w:spacing w:after="160" w:before="0"/>
      </w:pPr>
      <w:r>
        <w:rPr>
          <w:rFonts w:ascii="Georgia" w:hAnsi="Georgia"/>
          <w:b w:val="0"/>
          <w:sz w:val="22"/>
          <w:u w:val="none"/>
        </w:rPr>
        <w:t>Het opzegverbod van artikel 7:670 lid 2 BW helpt cliënte niet: de opzegging volgde meer dan zes weken na haar werkhervatting. Omdat zij geen herstel wil, gaat het om een billijke vergoeding. Doorslaggevend is dat de vervanger uit de verlofperiode dezelfde functie uitoefent; dat moeten we toetsen aan de organogrammen, functieomschrijvingen en de stukken uit de UWV-procedure.</w:t>
      </w:r>
    </w:p>
    <w:p>
      <w:pPr>
        <w:spacing w:after="160" w:before="0"/>
      </w:pPr>
      <w:r>
        <w:rPr>
          <w:rFonts w:ascii="Georgia" w:hAnsi="Georgia"/>
          <w:b w:val="0"/>
          <w:sz w:val="22"/>
          <w:u w:val="none"/>
        </w:rPr>
        <w:t>Onderscheid op grond van moederschap is direct onderscheid op grond van geslacht (artikel 1 lid 3 Awgb). Voert cliënte feiten aan die dat doen vermoeden, dan moet de werkgever het tegendeel bewijzen (artikel 7:646 lid 12 BW). Grondslag: artikel 7:681 lid 1 sub c BW; subsidiair artikel 7:682 lid 1 sub b BW. Daarnaast kan immateriële schade worden gevorderd (artikel 6:106 BW).</w:t>
      </w:r>
    </w:p>
    <w:p>
      <w:pPr>
        <w:spacing w:after="160" w:before="0"/>
      </w:pPr>
      <w:r>
        <w:rPr>
          <w:rFonts w:ascii="Georgia" w:hAnsi="Georgia"/>
          <w:b w:val="0"/>
          <w:sz w:val="22"/>
          <w:u w:val="none"/>
        </w:rPr>
        <w:t>Termijn: het verzoekschrift moet uiterlijk 31 juli 2025 zijn ingediend (artikel 7:686a lid 4 sub a BW). De transitievergoeding is van rechtswege verschuldigd (artikel 7:673 BW) en wordt bij de eindafrekening betaald.</w:t>
      </w:r>
    </w:p>
    <w:p>
      <w:pPr>
        <w:spacing w:after="80" w:before="240"/>
      </w:pPr>
      <w:r>
        <w:rPr>
          <w:rFonts w:ascii="Georgia" w:hAnsi="Georgia"/>
          <w:b/>
          <w:color w:val="1A1A5E"/>
          <w:sz w:val="23"/>
          <w:u w:val="none"/>
        </w:rPr>
        <w:t>Advies</w:t>
      </w:r>
    </w:p>
    <w:p>
      <w:pPr>
        <w:spacing w:after="160" w:before="0"/>
      </w:pPr>
      <w:r>
        <w:rPr>
          <w:rFonts w:ascii="Georgia" w:hAnsi="Georgia"/>
          <w:b w:val="0"/>
          <w:sz w:val="22"/>
          <w:u w:val="none"/>
        </w:rPr>
        <w:t>Arbeidsovereenkomst, loonstroken, beoordelingen en de stukken van de UWV-procedure opvragen en daarna een tijdlijn en een eerste schadeberekening maken. Het verzoekschrift direct na 31 mei 2025 indienen. Cliënte pas na bestudering van de stukken adviseren over kosten en kansen, en aan de partner rapporteren voordat er correspondentie naar de werkgever of diens advocaat gaat.</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Advocaten, Gustav Mahlerlaan 29, 1082 MS Amsterdam · KvK 12345678 · BTW NL123456789B01 · IBAN NL02 ABNA 0123 4567 89. De advocaten zijn lid van de Nederlandse orde van advocaten.</w:t>
    </w:r>
  </w:p>
  <w:p>
    <w:pPr>
      <w:spacing w:after="0"/>
      <w:jc w:val="center"/>
    </w:pPr>
    <w:r>
      <w:rPr>
        <w:rFonts w:ascii="Georgia" w:hAnsi="Georgia"/>
        <w:color w:val="666666"/>
        <w:sz w:val="14"/>
      </w:rPr>
      <w:t xml:space="preserve">Pagina </w:t>
    </w:r>
    <w:r>
      <w:rPr>
        <w:rFonts w:ascii="Georgia" w:hAnsi="Georgia"/>
        <w:color w:val="666666"/>
        <w:sz w:val="14"/>
      </w:rPr>
      <w:t>1</w:t>
    </w:r>
    <w:r>
      <w:rPr>
        <w:rFonts w:ascii="Georgia" w:hAnsi="Georgia"/>
        <w:color w:val="666666"/>
        <w:sz w:val="14"/>
      </w:rPr>
      <w:t xml:space="preserve"> van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Minervahuis, Gustav Mahlerlaan 29, 1082 MS Amsterdam   |   T 020 346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Aldridge_Vine_Memosjabloon</dc:title>
  <dc:subject>Fictional house-style example document for Andri knowledge base use</dc:subject>
  <dc:creator>Aldridge Vine LLP</dc:creator>
  <cp:keywords/>
  <dc:description/>
  <cp:lastModifiedBy/>
  <cp:revision>1</cp:revision>
  <dcterms:created xsi:type="dcterms:W3CDTF">2025-04-16T11:00:00Z</dcterms:created>
  <dcterms:modified xsi:type="dcterms:W3CDTF">2025-04-16T11:00:00Z</dcterms:modified>
  <cp:category/>
  <dc:language>nl-NL</dc:language>
</cp:coreProperties>
</file>