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A86"/>
          <w:sz w:val="32"/>
        </w:rPr>
        <w:t>GESPREKSNOTITIE</w:t>
      </w:r>
    </w:p>
    <w:p>
      <w:r>
        <w:rPr>
          <w:b/>
          <w:color w:val="B40000"/>
          <w:sz w:val="18"/>
        </w:rPr>
        <w:t>STRIKT VERTROUWELIJK</w:t>
      </w:r>
    </w:p>
    <w:p>
      <w:pPr>
        <w:pBdr>
          <w:bottom w:val="single" w:sz="12" w:space="1" w:color="5B2A86"/>
        </w:pBdr>
      </w:pPr>
      <w:r>
        <w:rPr>
          <w:b/>
          <w:color w:val="B40000"/>
          <w:sz w:val="18"/>
        </w:rPr>
        <w:t>VALT ONDER HET VERSCHONINGSRECHT</w:t>
      </w:r>
    </w:p>
    <w:tbl>
      <w:tblPr>
        <w:tblW w:type="auto" w:w="0"/>
        <w:tblLayout w:type="autofit"/>
        <w:tblLook w:firstColumn="1" w:firstRow="1" w:lastColumn="0" w:lastRow="0" w:noHBand="0" w:noVBand="1" w:val="04A0"/>
      </w:tblPr>
      <w:tblGrid>
        <w:gridCol w:w="4844"/>
        <w:gridCol w:w="4844"/>
      </w:tblGrid>
      <w:tr>
        <w:tc>
          <w:tcPr>
            <w:tcW w:type="dxa" w:w="4844"/>
          </w:tcPr>
          <w:p>
            <w:r>
              <w:rPr>
                <w:b/>
                <w:sz w:val="20"/>
              </w:rPr>
              <w:t>Aan:</w:t>
            </w:r>
          </w:p>
        </w:tc>
        <w:tc>
          <w:tcPr>
            <w:tcW w:type="dxa" w:w="4844"/>
          </w:tcPr>
          <w:p>
            <w:r>
              <w:rPr>
                <w:sz w:val="20"/>
              </w:rPr>
              <w:t>Dossier</w:t>
            </w:r>
          </w:p>
        </w:tc>
      </w:tr>
      <w:tr>
        <w:tc>
          <w:tcPr>
            <w:tcW w:type="dxa" w:w="4844"/>
          </w:tcPr>
          <w:p>
            <w:r>
              <w:rPr>
                <w:b/>
                <w:sz w:val="20"/>
              </w:rPr>
              <w:t>Van:</w:t>
            </w:r>
          </w:p>
        </w:tc>
        <w:tc>
          <w:tcPr>
            <w:tcW w:type="dxa" w:w="4844"/>
          </w:tcPr>
          <w:p>
            <w:r>
              <w:rPr>
                <w:sz w:val="20"/>
              </w:rPr>
              <w:t>mr. A. Frith</w:t>
            </w:r>
          </w:p>
        </w:tc>
      </w:tr>
      <w:tr>
        <w:tc>
          <w:tcPr>
            <w:tcW w:type="dxa" w:w="4844"/>
          </w:tcPr>
          <w:p>
            <w:r>
              <w:rPr>
                <w:b/>
                <w:sz w:val="20"/>
              </w:rPr>
              <w:t>Datum:</w:t>
            </w:r>
          </w:p>
        </w:tc>
        <w:tc>
          <w:tcPr>
            <w:tcW w:type="dxa" w:w="4844"/>
          </w:tcPr>
          <w:p>
            <w:r>
              <w:rPr>
                <w:sz w:val="20"/>
              </w:rPr>
              <w:t>10 april 2025</w:t>
            </w:r>
          </w:p>
        </w:tc>
      </w:tr>
      <w:tr>
        <w:tc>
          <w:tcPr>
            <w:tcW w:type="dxa" w:w="4844"/>
          </w:tcPr>
          <w:p>
            <w:r>
              <w:rPr>
                <w:b/>
                <w:sz w:val="20"/>
              </w:rPr>
              <w:t>Kenmerk:</w:t>
            </w:r>
          </w:p>
        </w:tc>
        <w:tc>
          <w:tcPr>
            <w:tcW w:type="dxa" w:w="4844"/>
          </w:tcPr>
          <w:p>
            <w:r>
              <w:rPr>
                <w:sz w:val="20"/>
              </w:rPr>
              <w:t>AV/HR/NAIR/0318</w:t>
            </w:r>
          </w:p>
        </w:tc>
      </w:tr>
      <w:tr>
        <w:tc>
          <w:tcPr>
            <w:tcW w:type="dxa" w:w="4844"/>
          </w:tcPr>
          <w:p>
            <w:r>
              <w:rPr>
                <w:b/>
                <w:sz w:val="20"/>
              </w:rPr>
              <w:t>Betreft:</w:t>
            </w:r>
          </w:p>
        </w:tc>
        <w:tc>
          <w:tcPr>
            <w:tcW w:type="dxa" w:w="4844"/>
          </w:tcPr>
          <w:p>
            <w:r>
              <w:rPr>
                <w:sz w:val="20"/>
              </w:rPr>
              <w:t>Intakegesprek met mevrouw Nair</w:t>
            </w:r>
          </w:p>
        </w:tc>
      </w:tr>
    </w:tbl>
    <w:p/>
    <w:p>
      <w:pPr>
        <w:spacing w:after="160"/>
      </w:pPr>
      <w:r>
        <w:rPr>
          <w:sz w:val="22"/>
        </w:rPr>
        <w:t>Intakegesprek van een uur met mevrouw Priya Nair op ons kantoor, na de opzegging door Calderdale Logistiek B.V. op 14 maart 2025 tegen 31 mei 2025, met toestemming van het UWV. Mevrouw Nair is vrijgesteld van werk.</w:t>
      </w:r>
    </w:p>
    <w:p>
      <w:pPr>
        <w:spacing w:after="160"/>
      </w:pPr>
      <w:r>
        <w:rPr>
          <w:sz w:val="22"/>
        </w:rPr>
        <w:t>Mevrouw Nair werkt sinds zeven jaar als operationeel manager. Na de geboorte van haar zoon op 19 mei 2024 genoot zij bevallingsverlof en aansluitend onbetaald ouderschapsverlof. Bij haar terugkeer op 13 januari 2025 bleek haar vervanger, de heer James Thornton, nog in functie en was haar takenpakket uitgehold. Op 17 februari 2025 hoorde zij dat haar functie zou vervallen.</w:t>
      </w:r>
    </w:p>
    <w:p>
      <w:pPr>
        <w:spacing w:after="160"/>
      </w:pPr>
      <w:r>
        <w:rPr>
          <w:sz w:val="22"/>
        </w:rPr>
        <w:t>Advies: het opzegverbod van artikel 7:670 lid 2 BW speelt niet; de opzegging volgde ruim zes weken na haar werkhervatting. Op basis van haar verhaal zijn er wel sterke argumenten dat de opzegging in strijd is met artikel 7:646 BW (onderscheid op grond van moederschap, artikel 1 lid 3 Awgb), met de bewijslastregel van artikel 7:646 lid 12 BW. Dat de mannelijke vervanger uit de verlofperiode de functie heeft behouden, is een sterk punt.</w:t>
      </w:r>
    </w:p>
    <w:p>
      <w:pPr>
        <w:spacing w:after="160"/>
      </w:pPr>
      <w:r>
        <w:rPr>
          <w:sz w:val="22"/>
        </w:rPr>
        <w:t>Termijn: een verzoek om een billijke vergoeding (artikelen 7:681 lid 1 sub c en 7:682 lid 1 BW) moet binnen twee maanden na het einde van de arbeidsovereenkomst worden ingediend (artikel 7:686a lid 4 sub a BW), dus uiterlijk 31 juli 2025. Herstel van de arbeidsovereenkomst wil mevrouw Nair niet.</w:t>
      </w:r>
    </w:p>
    <w:p>
      <w:pPr>
        <w:spacing w:after="160"/>
      </w:pPr>
      <w:r>
        <w:rPr>
          <w:sz w:val="22"/>
        </w:rPr>
        <w:t>Actie: arbeidsovereenkomst, loonstroken, beoordelingen en de stukken van de UWV-procedure opvragen; mevrouw Nair adviseren over kosten en kansen; termijn van 31 juli 2025 in de agenda zetten; verzoekschrift voorbereiden voor indiening direct na 31 mei 2025.</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11_Gespreksnotitie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nl-NL</dc:language>
</cp:coreProperties>
</file>