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RECHTBANK AMSTERDAM, TEAM KANTON</w:t>
      </w:r>
    </w:p>
    <w:p>
      <w:pPr>
        <w:jc w:val="right"/>
      </w:pPr>
      <w:r>
        <w:rPr>
          <w:b/>
          <w:sz w:val="18"/>
        </w:rPr>
        <w:t>Zaaknummer: 11504218 EA VERZ 25-412</w:t>
      </w:r>
    </w:p>
    <w:p>
      <w:pPr>
        <w:jc w:val="right"/>
      </w:pPr>
      <w:r>
        <w:rPr>
          <w:sz w:val="18"/>
        </w:rPr>
        <w:t>P. NAIR (verzoekster)</w:t>
      </w:r>
    </w:p>
    <w:p>
      <w:pPr>
        <w:jc w:val="right"/>
      </w:pPr>
      <w:r>
        <w:rPr>
          <w:sz w:val="18"/>
        </w:rPr>
        <w:t>CALDERDALE LOGISTIEK B.V. (verweerster)</w:t>
      </w:r>
    </w:p>
    <w:p>
      <w:pPr>
        <w:jc w:val="center"/>
        <w:pBdr>
          <w:bottom w:val="single" w:sz="12" w:space="1" w:color="5B2A86"/>
        </w:pBdr>
      </w:pPr>
      <w:r>
        <w:rPr>
          <w:b/>
          <w:color w:val="5B2A86"/>
          <w:sz w:val="26"/>
        </w:rPr>
        <w:t>PLEITNOTA VAN VERZOEKSTER</w:t>
      </w:r>
    </w:p>
    <w:p>
      <w:pPr>
        <w:spacing w:after="40"/>
      </w:pPr>
      <w:r>
        <w:rPr>
          <w:b/>
          <w:sz w:val="20"/>
        </w:rPr>
        <w:t xml:space="preserve">Mondelinge behandeling: </w:t>
      </w:r>
      <w:r>
        <w:rPr>
          <w:sz w:val="20"/>
        </w:rPr>
        <w:t>10 februari 2026</w:t>
      </w:r>
    </w:p>
    <w:p>
      <w:pPr>
        <w:spacing w:after="40"/>
      </w:pPr>
      <w:r>
        <w:rPr>
          <w:b/>
          <w:sz w:val="20"/>
        </w:rPr>
        <w:t xml:space="preserve">Duur: </w:t>
      </w:r>
      <w:r>
        <w:rPr>
          <w:sz w:val="20"/>
        </w:rPr>
        <w:t>halve dag</w:t>
      </w:r>
    </w:p>
    <w:p>
      <w:pPr>
        <w:spacing w:after="40"/>
      </w:pPr>
      <w:r>
        <w:rPr>
          <w:b/>
          <w:sz w:val="20"/>
        </w:rPr>
        <w:t xml:space="preserve">Namens: </w:t>
      </w:r>
      <w:r>
        <w:rPr>
          <w:sz w:val="20"/>
        </w:rPr>
        <w:t>verzoekster</w:t>
      </w:r>
    </w:p>
    <w:p>
      <w:pPr>
        <w:spacing w:after="40"/>
      </w:pPr>
      <w:r>
        <w:rPr>
          <w:b/>
          <w:sz w:val="20"/>
        </w:rPr>
        <w:t xml:space="preserve">Advocaat: </w:t>
      </w:r>
      <w:r>
        <w:rPr>
          <w:sz w:val="20"/>
        </w:rPr>
        <w:t>mr. A. Frith</w:t>
      </w:r>
    </w:p>
    <w:p/>
    <w:p>
      <w:r>
        <w:rPr>
          <w:b/>
          <w:color w:val="5B2A86"/>
          <w:sz w:val="24"/>
        </w:rPr>
        <w:t>1. Inleiding</w:t>
      </w:r>
    </w:p>
    <w:p>
      <w:pPr>
        <w:spacing w:after="120"/>
      </w:pPr>
      <w:r>
        <w:rPr>
          <w:sz w:val="22"/>
        </w:rPr>
        <w:t>Deze pleitnota vat de standpunten van verzoekster samen. Het gaat om de opzegging van 14 maart 2025.</w:t>
      </w:r>
    </w:p>
    <w:p>
      <w:pPr>
        <w:spacing w:after="120"/>
      </w:pPr>
      <w:r>
        <w:rPr>
          <w:sz w:val="22"/>
        </w:rPr>
        <w:t>De kernvraag is: was de reorganisatie de echte reden voor het ontslag, of een voorwendsel om verzoekster na haar verlof te laten gaan?</w:t>
      </w:r>
    </w:p>
    <w:p>
      <w:r>
        <w:rPr>
          <w:b/>
          <w:color w:val="5B2A86"/>
          <w:sz w:val="24"/>
        </w:rPr>
        <w:t>2. De geschilpunten</w:t>
      </w:r>
    </w:p>
    <w:p>
      <w:pPr>
        <w:spacing w:after="120"/>
      </w:pPr>
      <w:r>
        <w:rPr>
          <w:sz w:val="22"/>
        </w:rPr>
        <w:t>(1) Is er werkelijk een arbeidsplaats vervallen? (2) Is de opzegging in strijd met artikel 7:646 BW? (3) Heeft Calderdale ernstig verwijtbaar gehandeld (artikel 7:682 lid 1 sub b BW)? (4) Welke vergoedingen zijn op hun plaats?</w:t>
      </w:r>
    </w:p>
    <w:p>
      <w:r>
        <w:rPr>
          <w:b/>
          <w:color w:val="5B2A86"/>
          <w:sz w:val="24"/>
        </w:rPr>
        <w:t>3. Het recht</w:t>
      </w:r>
    </w:p>
    <w:p>
      <w:pPr>
        <w:spacing w:after="120"/>
      </w:pPr>
      <w:r>
        <w:rPr>
          <w:sz w:val="22"/>
        </w:rPr>
        <w:t>Een werkgever mag bij de opzegging geen onderscheid maken tussen mannen en vrouwen (artikel 7:646 lid 1 BW). Onderscheid op grond van zwangerschap, bevalling en moederschap is direct onderscheid op grond van geslacht (artikel 1 lid 3 Awgb).</w:t>
      </w:r>
    </w:p>
    <w:p>
      <w:pPr>
        <w:spacing w:after="120"/>
      </w:pPr>
      <w:r>
        <w:rPr>
          <w:sz w:val="22"/>
        </w:rPr>
        <w:t>Voert de werknemer feiten aan die onderscheid kunnen doen vermoeden, dan moet de werkgever bewijzen dat niet in strijd met artikel 7:646 BW is gehandeld (lid 12). Bij een opzegging in strijd met dat artikel kent de kantonrechter op verzoek een billijke vergoeding toe (artikel 7:681 lid 1 sub c BW).</w:t>
      </w:r>
    </w:p>
    <w:p>
      <w:r>
        <w:rPr>
          <w:b/>
          <w:color w:val="5B2A86"/>
          <w:sz w:val="24"/>
        </w:rPr>
        <w:t>4. Toelichting</w:t>
      </w:r>
    </w:p>
    <w:p>
      <w:pPr>
        <w:spacing w:after="120"/>
      </w:pPr>
      <w:r>
        <w:rPr>
          <w:sz w:val="22"/>
        </w:rPr>
        <w:t>Er is geen reorganisatie geweest. Het volume bleef gelijk en begin 2025 kwamen er twee nieuwe klanten bij. De gestelde herstructurering wordt door geen enkel stuk uit die periode onderbouwd.</w:t>
      </w:r>
    </w:p>
    <w:p>
      <w:pPr>
        <w:spacing w:after="120"/>
      </w:pPr>
      <w:r>
        <w:rPr>
          <w:sz w:val="22"/>
        </w:rPr>
        <w:t>De heer Thornton, aangenomen als vervanger tijdens het verlof, vervult nog steeds de functie van verzoekster. "Operationeel manager" en "transportplanning" zijn twee namen voor hetzelfde werk. Dat doet onderscheid vermoeden.</w:t>
      </w:r>
    </w:p>
    <w:p>
      <w:pPr>
        <w:spacing w:after="120"/>
      </w:pPr>
      <w:r>
        <w:rPr>
          <w:sz w:val="22"/>
        </w:rPr>
        <w:t>De gesprekken waren een formaliteit; het besluit lag al vast. Het UWV is een reorganisatie voorgehouden die niet bestond. Dat is ernstig verwijtbaar.</w:t>
      </w:r>
    </w:p>
    <w:p>
      <w:r>
        <w:rPr>
          <w:b/>
          <w:color w:val="5B2A86"/>
          <w:sz w:val="24"/>
        </w:rPr>
        <w:t>5. Conclusie</w:t>
      </w:r>
    </w:p>
    <w:p>
      <w:pPr>
        <w:spacing w:after="120"/>
      </w:pPr>
      <w:r>
        <w:rPr>
          <w:sz w:val="22"/>
        </w:rPr>
        <w:t>Verzoekster verzoekt de kantonrechter een billijke vergoeding van EUR 45.000,00 bruto en een immateriële schadevergoeding van EUR 7.500,00 toe te kennen, met wettelijke rente en proceskosten.</w:t>
      </w:r>
    </w:p>
    <w:p/>
    <w:p>
      <w:r>
        <w:rPr>
          <w:b/>
          <w:sz w:val="22"/>
        </w:rPr>
        <w:t>mr. A. Frith, advocaat</w:t>
      </w:r>
    </w:p>
    <w:p>
      <w:r>
        <w:rPr>
          <w:sz w:val="20"/>
        </w:rPr>
        <w:t>Aldridge Vine Advocaten, Amsterdam</w:t>
      </w:r>
    </w:p>
    <w:p>
      <w:r>
        <w:rPr>
          <w:sz w:val="20"/>
        </w:rPr>
        <w:t>Amsterdam, 30 januari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12_Pleitnota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nl-NL</dc:language>
</cp:coreProperties>
</file>