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A86"/>
          <w:sz w:val="28"/>
        </w:rPr>
        <w:t>Aldridge Vine Avocats SA</w:t>
      </w:r>
    </w:p>
    <w:p>
      <w:pPr>
        <w:spacing w:after="0" w:before="0"/>
      </w:pPr>
      <w:r>
        <w:rPr>
          <w:color w:val="646464"/>
          <w:sz w:val="16"/>
        </w:rPr>
        <w:t>Maison Minerva</w:t>
      </w:r>
    </w:p>
    <w:p>
      <w:pPr>
        <w:spacing w:after="0" w:before="0"/>
      </w:pPr>
      <w:r>
        <w:rPr>
          <w:color w:val="646464"/>
          <w:sz w:val="16"/>
        </w:rPr>
        <w:t>rue du Rhône 29</w:t>
      </w:r>
    </w:p>
    <w:p>
      <w:pPr>
        <w:spacing w:after="0" w:before="0"/>
      </w:pPr>
      <w:r>
        <w:rPr>
          <w:color w:val="646464"/>
          <w:sz w:val="16"/>
        </w:rPr>
        <w:t>1204 Genève</w:t>
      </w:r>
    </w:p>
    <w:p>
      <w:pPr>
        <w:spacing w:after="0" w:before="0"/>
      </w:pPr>
      <w:r>
        <w:rPr>
          <w:color w:val="646464"/>
          <w:sz w:val="16"/>
        </w:rPr>
        <w:t>Tél. 022 346 88 00</w:t>
      </w:r>
    </w:p>
    <w:p>
      <w:pPr>
        <w:spacing w:after="0" w:before="0"/>
      </w:pPr>
      <w:r>
        <w:rPr>
          <w:color w:val="646464"/>
          <w:sz w:val="16"/>
        </w:rPr>
        <w:t>Inscrite au registre cantonal des avocats de Genève</w:t>
      </w:r>
    </w:p>
    <w:p>
      <w:pPr>
        <w:spacing w:after="0" w:before="0"/>
        <w:pBdr>
          <w:bottom w:val="single" w:sz="12" w:space="1" w:color="5B2A86"/>
        </w:pBdr>
      </w:pPr>
      <w:r>
        <w:rPr>
          <w:color w:val="646464"/>
          <w:sz w:val="16"/>
        </w:rPr>
        <w:t>www.aldridgevine.example</w:t>
      </w:r>
    </w:p>
    <w:p>
      <w:pPr>
        <w:spacing w:before="240"/>
      </w:pPr>
      <w:r>
        <w:rPr>
          <w:b/>
          <w:sz w:val="20"/>
        </w:rPr>
        <w:t>CONFIDENTIEL – POURPARLERS TRANSACTIONNELS</w:t>
      </w:r>
    </w:p>
    <w:p/>
    <w:p>
      <w:pPr>
        <w:spacing w:after="0" w:before="0"/>
      </w:pPr>
      <w:r>
        <w:t>Bowater Sykes Avocats SA</w:t>
      </w:r>
    </w:p>
    <w:p>
      <w:pPr>
        <w:spacing w:after="0" w:before="0"/>
      </w:pPr>
      <w:r>
        <w:t>Maître Daniel Sykes</w:t>
      </w:r>
    </w:p>
    <w:p>
      <w:pPr>
        <w:spacing w:after="0" w:before="0"/>
      </w:pPr>
      <w:r>
        <w:t>rue de Hesse 10</w:t>
      </w:r>
    </w:p>
    <w:p>
      <w:pPr>
        <w:spacing w:after="0" w:before="0"/>
      </w:pPr>
      <w:r>
        <w:t>1204 Genève</w:t>
      </w:r>
    </w:p>
    <w:p/>
    <w:p>
      <w:pPr>
        <w:spacing w:after="40"/>
      </w:pPr>
      <w:r>
        <w:t>Genève, le 12 janvier 2026</w:t>
      </w:r>
    </w:p>
    <w:p>
      <w:pPr>
        <w:spacing w:after="40"/>
      </w:pPr>
      <w:r>
        <w:rPr>
          <w:sz w:val="18"/>
        </w:rPr>
        <w:t>Notre réf.: AV/HR/NAIR/0318</w:t>
      </w:r>
    </w:p>
    <w:p>
      <w:pPr>
        <w:spacing w:after="40"/>
      </w:pPr>
      <w:r>
        <w:rPr>
          <w:sz w:val="18"/>
        </w:rPr>
        <w:t>Votre réf.: BS/CLL/2291</w:t>
      </w:r>
    </w:p>
    <w:p/>
    <w:p>
      <w:pPr>
        <w:spacing w:after="120"/>
      </w:pPr>
      <w:r>
        <w:t>Cher Confrère,</w:t>
      </w:r>
    </w:p>
    <w:p>
      <w:pPr>
        <w:spacing w:after="200"/>
        <w:jc w:val="center"/>
      </w:pPr>
      <w:r>
        <w:rPr>
          <w:b/>
          <w:sz w:val="22"/>
          <w:u w:val="single"/>
        </w:rPr>
        <w:t>Nair c. Calderdale Logistique SA – Tribunal des prud'hommes de Genève, cause n° C/18542/2025-4</w:t>
      </w:r>
    </w:p>
    <w:p>
      <w:pPr>
        <w:spacing w:after="160"/>
      </w:pPr>
      <w:r>
        <w:rPr>
          <w:sz w:val="22"/>
        </w:rPr>
        <w:t>Comme vous le savez, nous représentons Mme Priya Nair, demanderesse dans la cause susmentionnée. En vue de l'audience de débats principaux du 10 février 2026, nous soumettons à votre mandante la proposition transactionnelle suivante. Le présent courrier s'inscrit dans le cadre de pourparlers transactionnels confidentiels et ne peut pas être produit en justice.</w:t>
      </w:r>
    </w:p>
    <w:p>
      <w:pPr>
        <w:spacing w:after="160"/>
      </w:pPr>
      <w:r>
        <w:rPr>
          <w:sz w:val="22"/>
        </w:rPr>
        <w:t>Les prétentions de notre mandante sont bien fondées. Les documents contemporains n'établissent aucune réorganisation, et il est frappant que M. Thornton, engagé pour remplacer notre mandante pendant son congé de maternité, continue d'exercer sa fonction. La discrimination est ainsi rendue vraisemblable; en vertu de l'art. 6 LEg, il incombe à votre mandante de prouver que des motifs objectifs, sans lien avec le sexe, ont été déterminants.</w:t>
      </w:r>
    </w:p>
    <w:p>
      <w:pPr>
        <w:spacing w:after="160"/>
      </w:pPr>
      <w:r>
        <w:rPr>
          <w:sz w:val="22"/>
        </w:rPr>
        <w:t>Selon le récapitulatif des prétentions, celles-ci s'élèvent à CHF 67'162.81: une indemnité de six mois de salaire (CHF 55'250.00) au sens de l'art. 5 al. 2 et 4 LEg, une réparation morale de CHF 10'000.00 et des intérêts moratoires de 5 % jusqu'à fin 2025, dépens en sus.</w:t>
      </w:r>
    </w:p>
    <w:p>
      <w:pPr>
        <w:spacing w:after="160"/>
      </w:pPr>
      <w:r>
        <w:rPr>
          <w:sz w:val="22"/>
        </w:rPr>
        <w:t>Notre mandante est disposée à liquider l'ensemble de ses prétentions découlant des rapports de travail moyennant le paiement de CHF 48'000.00 pour solde de tout compte, intérêts et dépens compris, ainsi que la remise d'un certificat de travail bienveillant. La transaction serait soumise au Tribunal afin que la cause soit rayée du rôle (art. 241 CPC). Cette offre est valable jusqu'au 2 février 2026.</w:t>
      </w:r>
    </w:p>
    <w:p>
      <w:pPr>
        <w:spacing w:after="160"/>
      </w:pPr>
      <w:r>
        <w:rPr>
          <w:sz w:val="22"/>
        </w:rPr>
        <w:t>Dans l'attente de votre réponse, nous vous prions d'agréer, Cher Confrère, nos salutations distinguées.</w:t>
      </w:r>
    </w:p>
    <w:p/>
    <w:p>
      <w:pPr>
        <w:spacing w:after="480"/>
      </w:pPr>
      <w:r/>
    </w:p>
    <w:p>
      <w:r>
        <w:rPr>
          <w:b/>
          <w:sz w:val="22"/>
        </w:rPr>
        <w:t>Aldridge Vine Avocats SA</w:t>
      </w:r>
    </w:p>
    <w:p>
      <w:r>
        <w:rPr>
          <w:sz w:val="20"/>
        </w:rPr>
        <w:t>Adam Frith, avocat</w:t>
        <w:br/>
      </w:r>
    </w:p>
    <w:p/>
    <w:p>
      <w:pPr>
        <w:spacing w:after="0" w:before="0"/>
      </w:pPr>
      <w:r>
        <w:rPr>
          <w:color w:val="646464"/>
          <w:sz w:val="14"/>
        </w:rPr>
        <w:t>Les avocates et avocats sont soumis au secret professionnel (art. 13 LLCA).</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10_Proposition_transactionnelle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fr-CH</dc:language>
</cp:coreProperties>
</file>