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28"/>
        </w:rPr>
        <w:t>Aldridge Vine LLP</w:t>
      </w:r>
    </w:p>
    <w:p>
      <w:pPr>
        <w:spacing w:after="0" w:before="0"/>
      </w:pPr>
      <w:r>
        <w:rPr>
          <w:color w:val="646464"/>
          <w:sz w:val="16"/>
        </w:rPr>
        <w:t>Minerva House</w:t>
      </w:r>
    </w:p>
    <w:p>
      <w:pPr>
        <w:spacing w:after="0" w:before="0"/>
      </w:pPr>
      <w:r>
        <w:rPr>
          <w:color w:val="646464"/>
          <w:sz w:val="16"/>
        </w:rPr>
        <w:t>29 East Parade</w:t>
      </w:r>
    </w:p>
    <w:p>
      <w:pPr>
        <w:spacing w:after="0" w:before="0"/>
      </w:pPr>
      <w:r>
        <w:rPr>
          <w:color w:val="646464"/>
          <w:sz w:val="16"/>
        </w:rPr>
        <w:t>Leeds LS1 5PS</w:t>
      </w:r>
    </w:p>
    <w:p>
      <w:pPr>
        <w:spacing w:after="0" w:before="0"/>
      </w:pPr>
      <w:r>
        <w:rPr>
          <w:color w:val="646464"/>
          <w:sz w:val="16"/>
        </w:rPr>
        <w:t>Tel: 0113 246 8800</w:t>
      </w:r>
    </w:p>
    <w:p>
      <w:pPr>
        <w:spacing w:after="0" w:before="0"/>
      </w:pPr>
      <w:r>
        <w:rPr>
          <w:color w:val="646464"/>
          <w:sz w:val="16"/>
        </w:rPr>
        <w:t>DX 26411 Leeds Park Square</w:t>
      </w:r>
    </w:p>
    <w:p>
      <w:pPr>
        <w:spacing w:after="0" w:before="0"/>
        <w:pBdr>
          <w:bottom w:val="single" w:sz="12" w:space="1" w:color="5B2A86"/>
        </w:pBdr>
      </w:pPr>
      <w:r>
        <w:rPr>
          <w:color w:val="646464"/>
          <w:sz w:val="16"/>
        </w:rPr>
        <w:t>www.aldridgevine.co.uk</w:t>
      </w:r>
    </w:p>
    <w:p>
      <w:pPr>
        <w:spacing w:before="240"/>
      </w:pPr>
      <w:r>
        <w:rPr>
          <w:b/>
          <w:sz w:val="20"/>
        </w:rPr>
        <w:t>ZONDER NADELIGE ERKENNING, BEHOUDENS DE PROCESKOSTEN</w:t>
      </w:r>
    </w:p>
    <w:p/>
    <w:p>
      <w:pPr>
        <w:spacing w:after="0" w:before="0"/>
      </w:pPr>
      <w:r>
        <w:t>Bowater Sykes Solicitors</w:t>
      </w:r>
    </w:p>
    <w:p>
      <w:pPr>
        <w:spacing w:after="0" w:before="0"/>
      </w:pPr>
      <w:r>
        <w:t>Wellington Place</w:t>
      </w:r>
    </w:p>
    <w:p>
      <w:pPr>
        <w:spacing w:after="0" w:before="0"/>
      </w:pPr>
      <w:r>
        <w:t>10 Wellington Street</w:t>
      </w:r>
    </w:p>
    <w:p>
      <w:pPr>
        <w:spacing w:after="0" w:before="0"/>
      </w:pPr>
      <w:r>
        <w:t>Leeds LS1 4AP</w:t>
      </w:r>
    </w:p>
    <w:p/>
    <w:p>
      <w:pPr>
        <w:spacing w:after="40"/>
      </w:pPr>
      <w:r>
        <w:t>12 januari 2026</w:t>
      </w:r>
    </w:p>
    <w:p>
      <w:pPr>
        <w:spacing w:after="40"/>
      </w:pPr>
      <w:r>
        <w:rPr>
          <w:sz w:val="18"/>
        </w:rPr>
        <w:t>Ons kenmerk: AV/HR/NAIR/0318</w:t>
      </w:r>
    </w:p>
    <w:p>
      <w:pPr>
        <w:spacing w:after="40"/>
      </w:pPr>
      <w:r>
        <w:rPr>
          <w:sz w:val="18"/>
        </w:rPr>
        <w:t>Uw kenmerk: BS/CLL/2291</w:t>
      </w:r>
    </w:p>
    <w:p/>
    <w:p>
      <w:pPr>
        <w:spacing w:after="120"/>
      </w:pPr>
      <w:r>
        <w:t>Geachte heer, mevrouw,</w:t>
      </w:r>
    </w:p>
    <w:p>
      <w:pPr>
        <w:spacing w:after="200"/>
        <w:jc w:val="center"/>
      </w:pPr>
      <w:r>
        <w:rPr>
          <w:b/>
          <w:sz w:val="22"/>
          <w:u w:val="single"/>
        </w:rPr>
        <w:t>Betreft: Nair / Calderdale Logistics Limited, zaaknr. 1803442/2025</w:t>
      </w:r>
    </w:p>
    <w:p>
      <w:pPr>
        <w:spacing w:after="160"/>
      </w:pPr>
      <w:r>
        <w:rPr>
          <w:sz w:val="22"/>
        </w:rPr>
        <w:t>Wij treden op voor mevrouw Priya Nair, eiseres in bovengenoemde procedure. Zonder nadelige erkenning nodigen wij uw cliënt uit deze zaak te schikken vóór de zitting die voor februari 2026 is gepland.</w:t>
      </w:r>
    </w:p>
    <w:p>
      <w:pPr>
        <w:spacing w:after="160"/>
      </w:pPr>
      <w:r>
        <w:rPr>
          <w:sz w:val="22"/>
        </w:rPr>
        <w:t>De vorderingen van onze cliënte wegens onredelijk ontslag en discriminatie staan sterk. De stukken uit die tijd wijzen niet op een werkelijk vervallen functie, en het is opvallend dat de heer Thornton, aangenomen als vervanger tijdens haar zwangerschapsverlof, in haar vroegere functie is aangebleven. De bewijslast op grond van section 136 van de Equality Act 2010 zal naar uw cliënt verschuiven.</w:t>
      </w:r>
    </w:p>
    <w:p>
      <w:pPr>
        <w:spacing w:after="160"/>
      </w:pPr>
      <w:r>
        <w:rPr>
          <w:sz w:val="22"/>
        </w:rPr>
        <w:t>Het schadeoverzicht van onze cliënte komt uit op GBP 71.640: een basisvergoeding, het inkomensverlies tot nu toe en in de toekomst, en smartengeld in de middelste Vento-schaal, vóór rente en een eventuele verhoging wegens het niet volgen van de Acas Code.</w:t>
      </w:r>
    </w:p>
    <w:p>
      <w:pPr>
        <w:spacing w:after="160"/>
      </w:pPr>
      <w:r>
        <w:rPr>
          <w:sz w:val="22"/>
        </w:rPr>
        <w:t>Onze cliënte is bereid al haar vorderingen te schikken voor GBP 52.000 in totaal, via een COT3-overeenkomst bij Acas, op nader overeen te komen voorwaarden. Dit aanbod staat 21 dagen open; daarna zal onze cliënte zich voor de proceskosten op deze brief beroepen.</w:t>
      </w:r>
    </w:p>
    <w:p>
      <w:pPr>
        <w:spacing w:after="160"/>
      </w:pPr>
      <w:r>
        <w:rPr>
          <w:sz w:val="22"/>
        </w:rPr>
        <w:t>Wij zien uw reactie graag tegemoet.</w:t>
      </w:r>
    </w:p>
    <w:p/>
    <w:p>
      <w:pPr>
        <w:spacing w:after="480"/>
      </w:pPr>
      <w:r>
        <w:t>Hoogachtend,</w:t>
      </w:r>
    </w:p>
    <w:p>
      <w:r>
        <w:rPr>
          <w:b/>
          <w:sz w:val="22"/>
        </w:rPr>
        <w:t>Aldridge Vine LLP</w:t>
      </w:r>
    </w:p>
    <w:p>
      <w:r>
        <w:rPr>
          <w:sz w:val="20"/>
        </w:rPr>
        <w:t>Aldridge Vine LLP</w:t>
        <w:br/>
      </w:r>
    </w:p>
    <w:p/>
    <w:p>
      <w:pPr>
        <w:spacing w:after="0" w:before="0"/>
      </w:pPr>
      <w:r>
        <w:rPr>
          <w:color w:val="646464"/>
          <w:sz w:val="14"/>
        </w:rPr>
        <w:t>Onder toezicht van de Solicitors Regulation Authority</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