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Drs.H. ASEP SUKMANA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SEKRETARIS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Dr. HENING WIDIATMOKO MA.</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 KOMUNIKASI DAN INFORMATIKA PADA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Drs.H. ASEP SUKMANA M.Si</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Dr. HENING WIDIATMOKO MA.</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KOMUNIKASI DAN INFORMATIKA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kerja</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sarana kerja minimal</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 unit</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sistem pelayanan perencanaan dan pelaporan</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dokumen perencanaan dan pelaporan </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33 dokumen</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kompetensi sumber daya aparatur</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jenis pelatihan</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 jenis</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Pengelolaan Keuangan dan Kekayaan Daerah</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174610000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700364000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1168970000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3847250000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5</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5019250000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 KOMUNIKASI DAN INFORMATIKA PADA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SEKRETARIS DINAS KOMUNIKASI DAN INFORMATIKA PROVINSI JAWA BARAT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Dr. HENING WIDIATMOKO MA.</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Drs.H. ASEP SUKMANA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