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A. DEDI DHARMAWAN SH., MM</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BALAI LAYANAN PENGADAAN SECARA ELEKTRONIK PADA DINAS KOMUNIKASI DAN INFORMATIKA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Dr. HENING WIDIATMOKO MA.</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DINAS KOMUNIKASI DAN INFORMATIKA PADA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A. DEDI DHARMAWAN SH., MM</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Dr. HENING WIDIATMOKO MA.</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KOMUNIKASI DAN INFORMATIKA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Penggunaan Sistem Pengadaan Barang Dan Jasa Pemerintah Secara Elektronik </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Pengguna Aplikasi Sistem Pengadaan Barang /Jasa Secara Elektronik </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36.608 pengguna</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Penggunaan Sistem Pengadaan Barang Dan Jasa Pemerintah Secara Elektronik</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Tingkat Layanan kepada Pengguna</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98%</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Komunikasi, Informasi, Media Massa dan Pemanfaatan Teknologi Informasi</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1038470000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100000000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692831000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4</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1698500000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5</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Pelayanan Administrasi Perkantoran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1281330000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DINAS KOMUNIKASI DAN INFORMATIKA PADA PROVINSI JAWA BARAT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KEPALA BALAI LAYANAN PENGADAAN SECARA ELEKTRONIK PADA DINAS KOMUNIKASI DAN INFORMATIKA PROVINSI JAWA BARAT</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Dr. HENING WIDIATMOKO MA.</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A. DEDI DHARMAWAN SH., MM</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