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PERHUBUNGAN</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2016</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Dr.H. DEDI TAUFIK, M.SI.</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Dinas Perhubungan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2016</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Dr.H. DEDI TAUFIK, M.SI.</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2016</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DINAS PERHUBUNGAN</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kualitas pelayanan moda transportasi umum</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Prosentase keikutsertaan kabupaten/kota dalam WTN
Prosentase kepemilikan armada angkutan umum (AKDP) perseorangan menjadi badan hukum
Prosentase ketersediaan AKDP di Jawa Barat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55.56 persen
50.12 persen
94.00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ketertiban lalu lintas angkutan umum</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Prosentase kendaraan tidak melanggar muatan lebih di Jembatan Timbang
Prosentase kendaraan umum laik Jalan di Jawa Barat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79.00 persen
100.00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ketersediaan prasarana transportasi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Prosentase ketersediaan dermaga/pelabuhan ASDP
Prosentase Ketersediaan prasarana jalur kereta api aktif di Jawa Barat
Prosentase ketersediaan prasarana  transportasi udara (pembangunan BIJB Kertajati dan pengembangan Bandara Nusawiru)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66.67 persen
74.29 persen
45.64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ketersediaan perlengkapan jalan di ruas jalan Provinsi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Prosentase ketersediaan Fasilitas Perlengkapan Jalan (Rambu, Marka, Guardrail, PJU) di Jalan Provinsi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21.00 persen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2016</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Dinas Perhubungan Provinsi Jawa Barat</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Dr.H. DEDI TAUFIK, M.SI.</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