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[]BIRO ADMINISTRASI PEMBANGUNAN</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Ir. H. EPI KUSTIAWAN, MP</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Biro Pengendalian Pembangunan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Ir. H. EPI KUSTIAWAN, MP</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[]BIRO ADMINISTRASI PEMBANGUNAN</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Terwujudnya Regulasi dan Pranata Daerah Bidang Pengendalian Pembangunan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Kebijakan Gubernur Bidang Pengendalian Pembangunan (Draft Pergub, Kepgub, Surat Edaran, Telaahan, dsb) yang Disosialisasikan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21.00 Dokumen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Kesesuaian Realisasi Anggaran Dengan Rencana Pembangunan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Deviasi antara Realisasi Anggaran dengan Rencana antara 0 s.d. -5,99% atau Kategori Hijau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-5.90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Kepatuhan OPD/Biro dan Kabupaten/Kota dalam Melaporkan Kinerja Pelaksanaan Pembangunan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OPD/Biro dan Kabupaten/Kota yang Menyampaikan Laporan Tepat Waktu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95.00 Persen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Biro Pengendalian Pembangunan</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Ir. H. EPI KUSTIAWAN, MP</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