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PERUMAHAN DAN PERMUKIMAN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TEDDY HERNADI, ST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SEKSI PERSAMPAHAN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Ir. LUCKY RUSWANDI SUMANANG,M.T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BIDANG INFRASTRUKTUR PERMUKIMAN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TEDDY HERNADI, ST</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Ir. LUCKY RUSWANDI SUMANANG,M.T</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PERUMAHAN DAN PERMUKIMAN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cakupan pelayanan persampahan perkotaan dan pengurangan sampah di sumber dengan pola reduce, reuse, dan recycle (3R)</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persampahan perkotaan</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69</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Pembinaan dan Pengembangan Infrastruktur Permukiman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1273000000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Mitigasi dan Adaptasi Perubahan Iklim</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89600000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BIDANG INFRASTRUKTUR PERMUKIMAN</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KEPALA SEKSI PERSAMPAHAN</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Ir. LUCKY RUSWANDI SUMANANG,M.T</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TEDDY HERNADI, ST</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